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color w:val="000000"/>
          <w:sz w:val="18"/>
          <w:szCs w:val="18"/>
          <w:lang w:eastAsia="pl-PL"/>
        </w:rPr>
        <w:t>Ogłoszenie nr 540019982-N-2020 z dnia 03-02-2020 r.</w:t>
      </w:r>
    </w:p>
    <w:p w:rsidR="00CD1375" w:rsidRPr="00CD1375" w:rsidRDefault="00CD1375" w:rsidP="00CD1375">
      <w:pPr>
        <w:spacing w:after="0" w:line="240" w:lineRule="auto"/>
        <w:rPr>
          <w:rFonts w:ascii="Tahoma" w:eastAsia="Times New Roman" w:hAnsi="Tahoma" w:cs="Tahoma"/>
          <w:color w:val="000000"/>
          <w:sz w:val="18"/>
          <w:szCs w:val="18"/>
          <w:lang w:eastAsia="pl-PL"/>
        </w:rPr>
      </w:pPr>
    </w:p>
    <w:p w:rsidR="00CD1375" w:rsidRDefault="00CD1375" w:rsidP="00CD1375">
      <w:pPr>
        <w:spacing w:after="0" w:line="240" w:lineRule="auto"/>
        <w:jc w:val="center"/>
        <w:rPr>
          <w:rFonts w:ascii="Tahoma" w:eastAsia="Times New Roman" w:hAnsi="Tahoma" w:cs="Tahoma"/>
          <w:b/>
          <w:bCs/>
          <w:color w:val="000000"/>
          <w:sz w:val="27"/>
          <w:szCs w:val="27"/>
          <w:lang w:eastAsia="pl-PL"/>
        </w:rPr>
      </w:pPr>
      <w:r w:rsidRPr="00CD1375">
        <w:rPr>
          <w:rFonts w:ascii="Tahoma" w:eastAsia="Times New Roman" w:hAnsi="Tahoma" w:cs="Tahoma"/>
          <w:b/>
          <w:bCs/>
          <w:color w:val="000000"/>
          <w:sz w:val="27"/>
          <w:szCs w:val="27"/>
          <w:lang w:eastAsia="pl-PL"/>
        </w:rPr>
        <w:t>Godziesze Wielkie:</w:t>
      </w:r>
      <w:r w:rsidRPr="00CD1375">
        <w:rPr>
          <w:rFonts w:ascii="Tahoma" w:eastAsia="Times New Roman" w:hAnsi="Tahoma" w:cs="Tahoma"/>
          <w:b/>
          <w:bCs/>
          <w:color w:val="000000"/>
          <w:sz w:val="27"/>
          <w:szCs w:val="27"/>
          <w:lang w:eastAsia="pl-PL"/>
        </w:rPr>
        <w:br/>
        <w:t>OGŁOSZENIE O ZMIANIE OGŁOSZENIA</w:t>
      </w:r>
    </w:p>
    <w:p w:rsidR="00CD1375" w:rsidRPr="00CD1375" w:rsidRDefault="00CD1375" w:rsidP="00CD1375">
      <w:pPr>
        <w:spacing w:after="0" w:line="240" w:lineRule="auto"/>
        <w:jc w:val="center"/>
        <w:rPr>
          <w:rFonts w:ascii="Tahoma" w:eastAsia="Times New Roman" w:hAnsi="Tahoma" w:cs="Tahoma"/>
          <w:b/>
          <w:bCs/>
          <w:color w:val="000000"/>
          <w:sz w:val="27"/>
          <w:szCs w:val="27"/>
          <w:lang w:eastAsia="pl-PL"/>
        </w:rPr>
      </w:pPr>
    </w:p>
    <w:p w:rsidR="00CD1375" w:rsidRP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b/>
          <w:bCs/>
          <w:color w:val="000000"/>
          <w:sz w:val="18"/>
          <w:szCs w:val="18"/>
          <w:lang w:eastAsia="pl-PL"/>
        </w:rPr>
        <w:t>OGŁOSZENIE DOTYCZY:</w:t>
      </w:r>
    </w:p>
    <w:p w:rsidR="00CD1375" w:rsidRP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color w:val="000000"/>
          <w:sz w:val="18"/>
          <w:szCs w:val="18"/>
          <w:lang w:eastAsia="pl-PL"/>
        </w:rPr>
        <w:t>Ogłoszenia o zamówieniu</w:t>
      </w:r>
    </w:p>
    <w:p w:rsidR="00CD1375" w:rsidRPr="00CD1375" w:rsidRDefault="00CD1375" w:rsidP="00CD1375">
      <w:pPr>
        <w:spacing w:after="0" w:line="240" w:lineRule="auto"/>
        <w:rPr>
          <w:rFonts w:ascii="Tahoma" w:eastAsia="Times New Roman" w:hAnsi="Tahoma" w:cs="Tahoma"/>
          <w:b/>
          <w:bCs/>
          <w:color w:val="000000"/>
          <w:sz w:val="27"/>
          <w:szCs w:val="27"/>
          <w:lang w:eastAsia="pl-PL"/>
        </w:rPr>
      </w:pPr>
      <w:r w:rsidRPr="00CD1375">
        <w:rPr>
          <w:rFonts w:ascii="Tahoma" w:eastAsia="Times New Roman" w:hAnsi="Tahoma" w:cs="Tahoma"/>
          <w:b/>
          <w:bCs/>
          <w:color w:val="000000"/>
          <w:sz w:val="27"/>
          <w:szCs w:val="27"/>
          <w:u w:val="single"/>
          <w:lang w:eastAsia="pl-PL"/>
        </w:rPr>
        <w:t>INFORMACJE O ZMIENIANYM OGŁOSZENIU</w:t>
      </w:r>
    </w:p>
    <w:p w:rsidR="00CD1375" w:rsidRP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b/>
          <w:bCs/>
          <w:color w:val="000000"/>
          <w:sz w:val="18"/>
          <w:szCs w:val="18"/>
          <w:lang w:eastAsia="pl-PL"/>
        </w:rPr>
        <w:t>Numer: </w:t>
      </w:r>
      <w:r w:rsidRPr="00CD1375">
        <w:rPr>
          <w:rFonts w:ascii="Tahoma" w:eastAsia="Times New Roman" w:hAnsi="Tahoma" w:cs="Tahoma"/>
          <w:color w:val="000000"/>
          <w:sz w:val="18"/>
          <w:szCs w:val="18"/>
          <w:lang w:eastAsia="pl-PL"/>
        </w:rPr>
        <w:t>508685-N-2020</w:t>
      </w:r>
      <w:r w:rsidRPr="00CD1375">
        <w:rPr>
          <w:rFonts w:ascii="Tahoma" w:eastAsia="Times New Roman" w:hAnsi="Tahoma" w:cs="Tahoma"/>
          <w:color w:val="000000"/>
          <w:sz w:val="18"/>
          <w:szCs w:val="18"/>
          <w:lang w:eastAsia="pl-PL"/>
        </w:rPr>
        <w:br/>
      </w:r>
      <w:r w:rsidRPr="00CD1375">
        <w:rPr>
          <w:rFonts w:ascii="Tahoma" w:eastAsia="Times New Roman" w:hAnsi="Tahoma" w:cs="Tahoma"/>
          <w:b/>
          <w:bCs/>
          <w:color w:val="000000"/>
          <w:sz w:val="18"/>
          <w:szCs w:val="18"/>
          <w:lang w:eastAsia="pl-PL"/>
        </w:rPr>
        <w:t>Data: </w:t>
      </w:r>
      <w:r w:rsidRPr="00CD1375">
        <w:rPr>
          <w:rFonts w:ascii="Tahoma" w:eastAsia="Times New Roman" w:hAnsi="Tahoma" w:cs="Tahoma"/>
          <w:color w:val="000000"/>
          <w:sz w:val="18"/>
          <w:szCs w:val="18"/>
          <w:lang w:eastAsia="pl-PL"/>
        </w:rPr>
        <w:t>03/02/2020</w:t>
      </w:r>
    </w:p>
    <w:p w:rsidR="00CD1375" w:rsidRPr="00CD1375" w:rsidRDefault="00CD1375" w:rsidP="00CD1375">
      <w:pPr>
        <w:spacing w:after="0" w:line="240" w:lineRule="auto"/>
        <w:rPr>
          <w:rFonts w:ascii="Tahoma" w:eastAsia="Times New Roman" w:hAnsi="Tahoma" w:cs="Tahoma"/>
          <w:b/>
          <w:bCs/>
          <w:color w:val="000000"/>
          <w:sz w:val="27"/>
          <w:szCs w:val="27"/>
          <w:lang w:eastAsia="pl-PL"/>
        </w:rPr>
      </w:pPr>
      <w:r w:rsidRPr="00CD1375">
        <w:rPr>
          <w:rFonts w:ascii="Tahoma" w:eastAsia="Times New Roman" w:hAnsi="Tahoma" w:cs="Tahoma"/>
          <w:b/>
          <w:bCs/>
          <w:color w:val="000000"/>
          <w:sz w:val="27"/>
          <w:szCs w:val="27"/>
          <w:u w:val="single"/>
          <w:lang w:eastAsia="pl-PL"/>
        </w:rPr>
        <w:t>SEKCJA I: ZAMAWIAJĄCY</w:t>
      </w:r>
    </w:p>
    <w:p w:rsidR="00CD1375" w:rsidRP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color w:val="000000"/>
          <w:sz w:val="18"/>
          <w:szCs w:val="18"/>
          <w:lang w:eastAsia="pl-PL"/>
        </w:rPr>
        <w:t>Gmina Godziesze Wielkie, Krajowy numer identyfikacyjny 25085516200000, ul. ul. 11 Listopada  10, 62-872  Godziesze Wielkie, woj. wielkopolskie, państwo Polska, tel. 627 611 089, e-mail godziesze-wi@zgwrp.org.pl, faks 627 611 053.</w:t>
      </w:r>
      <w:r w:rsidRPr="00CD1375">
        <w:rPr>
          <w:rFonts w:ascii="Tahoma" w:eastAsia="Times New Roman" w:hAnsi="Tahoma" w:cs="Tahoma"/>
          <w:color w:val="000000"/>
          <w:sz w:val="18"/>
          <w:szCs w:val="18"/>
          <w:lang w:eastAsia="pl-PL"/>
        </w:rPr>
        <w:br/>
        <w:t>Adres strony internetowej (</w:t>
      </w:r>
      <w:proofErr w:type="spellStart"/>
      <w:r w:rsidRPr="00CD1375">
        <w:rPr>
          <w:rFonts w:ascii="Tahoma" w:eastAsia="Times New Roman" w:hAnsi="Tahoma" w:cs="Tahoma"/>
          <w:color w:val="000000"/>
          <w:sz w:val="18"/>
          <w:szCs w:val="18"/>
          <w:lang w:eastAsia="pl-PL"/>
        </w:rPr>
        <w:t>url</w:t>
      </w:r>
      <w:proofErr w:type="spellEnd"/>
      <w:r w:rsidRPr="00CD1375">
        <w:rPr>
          <w:rFonts w:ascii="Tahoma" w:eastAsia="Times New Roman" w:hAnsi="Tahoma" w:cs="Tahoma"/>
          <w:color w:val="000000"/>
          <w:sz w:val="18"/>
          <w:szCs w:val="18"/>
          <w:lang w:eastAsia="pl-PL"/>
        </w:rPr>
        <w:t>): www.godzieszewielkie.pl</w:t>
      </w:r>
    </w:p>
    <w:p w:rsidR="00CD1375" w:rsidRPr="00CD1375" w:rsidRDefault="00CD1375" w:rsidP="00CD1375">
      <w:pPr>
        <w:spacing w:after="0" w:line="240" w:lineRule="auto"/>
        <w:rPr>
          <w:rFonts w:ascii="Tahoma" w:eastAsia="Times New Roman" w:hAnsi="Tahoma" w:cs="Tahoma"/>
          <w:b/>
          <w:bCs/>
          <w:color w:val="000000"/>
          <w:sz w:val="27"/>
          <w:szCs w:val="27"/>
          <w:lang w:eastAsia="pl-PL"/>
        </w:rPr>
      </w:pPr>
      <w:r w:rsidRPr="00CD1375">
        <w:rPr>
          <w:rFonts w:ascii="Tahoma" w:eastAsia="Times New Roman" w:hAnsi="Tahoma" w:cs="Tahoma"/>
          <w:b/>
          <w:bCs/>
          <w:color w:val="000000"/>
          <w:sz w:val="27"/>
          <w:szCs w:val="27"/>
          <w:u w:val="single"/>
          <w:lang w:eastAsia="pl-PL"/>
        </w:rPr>
        <w:t>SEKCJA II: ZMIANY W OGŁOSZENIU</w:t>
      </w:r>
    </w:p>
    <w:p w:rsidR="00CD1375" w:rsidRP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b/>
          <w:bCs/>
          <w:color w:val="000000"/>
          <w:sz w:val="18"/>
          <w:szCs w:val="18"/>
          <w:lang w:eastAsia="pl-PL"/>
        </w:rPr>
        <w:t>II.1) Tekst, który należy zmienić:</w:t>
      </w:r>
    </w:p>
    <w:p w:rsidR="00CD1375" w:rsidRPr="00CD1375" w:rsidRDefault="00CD1375" w:rsidP="00CD1375">
      <w:pPr>
        <w:spacing w:after="0" w:line="240" w:lineRule="auto"/>
        <w:rPr>
          <w:rFonts w:ascii="Tahoma" w:eastAsia="Times New Roman" w:hAnsi="Tahoma" w:cs="Tahoma"/>
          <w:color w:val="000000"/>
          <w:sz w:val="18"/>
          <w:szCs w:val="18"/>
          <w:lang w:eastAsia="pl-PL"/>
        </w:rPr>
      </w:pPr>
      <w:r w:rsidRPr="00CD1375">
        <w:rPr>
          <w:rFonts w:ascii="Tahoma" w:eastAsia="Times New Roman" w:hAnsi="Tahoma" w:cs="Tahoma"/>
          <w:b/>
          <w:bCs/>
          <w:color w:val="000000"/>
          <w:sz w:val="18"/>
          <w:szCs w:val="18"/>
          <w:lang w:eastAsia="pl-PL"/>
        </w:rPr>
        <w:t>Miejsce, w którym znajduje się zmieniany tekst:</w:t>
      </w:r>
      <w:r w:rsidRPr="00CD1375">
        <w:rPr>
          <w:rFonts w:ascii="Tahoma" w:eastAsia="Times New Roman" w:hAnsi="Tahoma" w:cs="Tahoma"/>
          <w:color w:val="000000"/>
          <w:sz w:val="18"/>
          <w:szCs w:val="18"/>
          <w:lang w:eastAsia="pl-PL"/>
        </w:rPr>
        <w:br/>
      </w:r>
      <w:r w:rsidRPr="00CD1375">
        <w:rPr>
          <w:rFonts w:ascii="Tahoma" w:eastAsia="Times New Roman" w:hAnsi="Tahoma" w:cs="Tahoma"/>
          <w:b/>
          <w:bCs/>
          <w:color w:val="000000"/>
          <w:sz w:val="18"/>
          <w:szCs w:val="18"/>
          <w:lang w:eastAsia="pl-PL"/>
        </w:rPr>
        <w:t>Numer sekcji: </w:t>
      </w:r>
      <w:r w:rsidRPr="00CD1375">
        <w:rPr>
          <w:rFonts w:ascii="Tahoma" w:eastAsia="Times New Roman" w:hAnsi="Tahoma" w:cs="Tahoma"/>
          <w:color w:val="000000"/>
          <w:sz w:val="18"/>
          <w:szCs w:val="18"/>
          <w:lang w:eastAsia="pl-PL"/>
        </w:rPr>
        <w:t>II</w:t>
      </w:r>
      <w:r w:rsidRPr="00CD1375">
        <w:rPr>
          <w:rFonts w:ascii="Tahoma" w:eastAsia="Times New Roman" w:hAnsi="Tahoma" w:cs="Tahoma"/>
          <w:color w:val="000000"/>
          <w:sz w:val="18"/>
          <w:szCs w:val="18"/>
          <w:lang w:eastAsia="pl-PL"/>
        </w:rPr>
        <w:br/>
      </w:r>
      <w:r w:rsidRPr="00CD1375">
        <w:rPr>
          <w:rFonts w:ascii="Tahoma" w:eastAsia="Times New Roman" w:hAnsi="Tahoma" w:cs="Tahoma"/>
          <w:b/>
          <w:bCs/>
          <w:color w:val="000000"/>
          <w:sz w:val="18"/>
          <w:szCs w:val="18"/>
          <w:lang w:eastAsia="pl-PL"/>
        </w:rPr>
        <w:t>Punkt: </w:t>
      </w:r>
      <w:r w:rsidRPr="00CD1375">
        <w:rPr>
          <w:rFonts w:ascii="Tahoma" w:eastAsia="Times New Roman" w:hAnsi="Tahoma" w:cs="Tahoma"/>
          <w:color w:val="000000"/>
          <w:sz w:val="18"/>
          <w:szCs w:val="18"/>
          <w:lang w:eastAsia="pl-PL"/>
        </w:rPr>
        <w:t>II.4)</w:t>
      </w:r>
      <w:r w:rsidRPr="00CD1375">
        <w:rPr>
          <w:rFonts w:ascii="Tahoma" w:eastAsia="Times New Roman" w:hAnsi="Tahoma" w:cs="Tahoma"/>
          <w:color w:val="000000"/>
          <w:sz w:val="18"/>
          <w:szCs w:val="18"/>
          <w:lang w:eastAsia="pl-PL"/>
        </w:rPr>
        <w:br/>
      </w:r>
      <w:r w:rsidRPr="00CD1375">
        <w:rPr>
          <w:rFonts w:ascii="Tahoma" w:eastAsia="Times New Roman" w:hAnsi="Tahoma" w:cs="Tahoma"/>
          <w:b/>
          <w:bCs/>
          <w:color w:val="000000"/>
          <w:sz w:val="18"/>
          <w:szCs w:val="18"/>
          <w:lang w:eastAsia="pl-PL"/>
        </w:rPr>
        <w:t>W ogłoszeniu jest: </w:t>
      </w:r>
      <w:r w:rsidRPr="00CD1375">
        <w:rPr>
          <w:rFonts w:ascii="Tahoma" w:eastAsia="Times New Roman" w:hAnsi="Tahoma" w:cs="Tahoma"/>
          <w:color w:val="000000"/>
          <w:sz w:val="18"/>
          <w:szCs w:val="18"/>
          <w:lang w:eastAsia="pl-PL"/>
        </w:rPr>
        <w:t xml:space="preserve">Przedmiotem zamówienia jest: Rozbudowa sieci kanalizacji sanitarnej dla miejscowości Zadowice i części Woli Droszewskiej – Etap III. Zakres przedmiotu zamówienia dla rozbudowy sieci kanalizacji sanitarnej dla miejscowości: Zadowice oraz części Woli Droszewskiej obejmuje wykonanie następujących prac: - budowę sieci kanalizacji sanitarnej grawitacyjnej PVC-U 200 mm o dł. 3 905,5 m, - budowę sieci kanalizacji sanitarnej grawitacyjnej PVC-U 160 mm o dł. 332,0 m. - budowę rurociągu tłocznego PE 125 o dł. 2129,0 m, - budowę rurociągu tłocznego PE 110 o dł. 815,0 m, - budowę rurociągu tłocznego PE 90 o dł. 888,0 m, - budowę przepompowni - 4 szt. PS 5, PS 6, PS 7, PS 8, - prace związane z zasilaniem przepompowni w energię elektryczną. Łączna długość wybudowanej kanalizacji sanitarnej wyniesie 8 069,5 m, w tym 4 237,5 m sieci kanalizacji grawitacyjnej i 3 832,0 m rurociągu tłocznego. Zakres przedmiotu zamówienia obejmuje wykonanie następujących prac: 1. przygotowanie terenu pod budowę, 2. roboty ziemne, 3. odwadnianie gruntów, 4. wznoszenie kompletnych obiektów budowlanych, 5. inżynieria lądowa i wodna, 6. roboty budowlane w zakresie budowy rurociągów, 7. kładzenie rurociągów, 8. rozbiórka elementów dróg, 9. odtworzenie nawierzchni drogowej wraz z podwójnym powierzchniowym utrwaleniem: Zamawiający wymaga odtworzenia uszkodzonej nawierzchni asfaltowej w następującej konstrukcji: podbudowa tłuczniowa grubości 23 cm, nawierzchnia asfaltowa grubości 4 cm i podwójne utrwalenie powierzchniowe na całej szerokości jezdni i długości odtwarzanej nawierzchni, 10. zapewnienia pełnej obsługi geodezyjnej, 11. zapewnienia nadzoru archeologicznego, 12. opracowania projektu organizacji ruchu drogowego, 13. wdrożenia i utrzymania oznakowania tymczasowego na czas realizacji robót, </w:t>
      </w:r>
      <w:r w:rsidRPr="00CD1375">
        <w:rPr>
          <w:rFonts w:ascii="Tahoma" w:eastAsia="Times New Roman" w:hAnsi="Tahoma" w:cs="Tahoma"/>
          <w:color w:val="000000"/>
          <w:sz w:val="18"/>
          <w:szCs w:val="18"/>
          <w:highlight w:val="yellow"/>
          <w:lang w:eastAsia="pl-PL"/>
        </w:rPr>
        <w:t>14.</w:t>
      </w:r>
      <w:r w:rsidRPr="00CD1375">
        <w:rPr>
          <w:rFonts w:ascii="Tahoma" w:eastAsia="Times New Roman" w:hAnsi="Tahoma" w:cs="Tahoma"/>
          <w:color w:val="000000"/>
          <w:sz w:val="18"/>
          <w:szCs w:val="18"/>
          <w:lang w:eastAsia="pl-PL"/>
        </w:rPr>
        <w:t xml:space="preserve"> </w:t>
      </w:r>
      <w:r w:rsidRPr="00CD1375">
        <w:rPr>
          <w:rFonts w:ascii="Tahoma" w:eastAsia="Times New Roman" w:hAnsi="Tahoma" w:cs="Tahoma"/>
          <w:color w:val="000000"/>
          <w:sz w:val="18"/>
          <w:szCs w:val="18"/>
          <w:highlight w:val="yellow"/>
          <w:lang w:eastAsia="pl-PL"/>
        </w:rPr>
        <w:t>uzyskania zgody na zajęcie pasa drogowego i uiszczenie opłat oraz realizowanie robót zgodnie z Decyzjami Gminy Godziesze Wielkie</w:t>
      </w:r>
      <w:r w:rsidRPr="00CD1375">
        <w:rPr>
          <w:rFonts w:ascii="Tahoma" w:eastAsia="Times New Roman" w:hAnsi="Tahoma" w:cs="Tahoma"/>
          <w:color w:val="000000"/>
          <w:sz w:val="18"/>
          <w:szCs w:val="18"/>
          <w:lang w:eastAsia="pl-PL"/>
        </w:rPr>
        <w:t>, 15. powiadomienia zarządców nieruchomości o planowanym terminie prowadzenia robót budowlanych, 16. powiadomienia właścicieli instalacji uzbrojenia podziemnego o przystąpieniu do robót i zapewnienia wymaganych nadzorów branżowych, 17. wykonania wszelkich badań i prób w tym inspekcji TV kanałów sanitarnych, 18. wykonania inwentaryzacji geodezyjnej powykonawczej, 19. wykonania dokumentacji powykonawczej, 20. przywrócenia terenu i nawierzchni do stanu pierwotnego – w przypadku zajmowania przez Wykonawcę podczas realizacji robót terenów przyległych oraz uzyskania oświadczeń potwierdzających uporządkowanie terenu podpisanych przez właścicieli poszczególnych działek, .21. uzyskanie pozwolenia na użytkowanie. Szczegółowy zakres robót określa „Dokumentacja projektowa”, która stanowi załącznik nr 1 do SIWZ, Przedmiot zamówienia obejmuje wykonanie wszelkich robót budowlanych i czynności niezbędnych do prawidłowego zrealizowania przedmiotu zamówienia w zakresie rzeczowo-ilościowym określonym w przedmiarach robót i załączonej Dokumentacji projektowej, stanowiącej załącznik nr 1 do SIWZ. Wykonawca zobowiązany jest do wykonania przedmiotu zamówienia zgodnie z Dokumentacją projektową, zasadami wiedzy technicznej i sztuki budowlanej oraz obowiązującymi przepisami prawa.</w:t>
      </w:r>
      <w:r w:rsidRPr="00CD1375">
        <w:rPr>
          <w:rFonts w:ascii="Tahoma" w:eastAsia="Times New Roman" w:hAnsi="Tahoma" w:cs="Tahoma"/>
          <w:color w:val="000000"/>
          <w:sz w:val="18"/>
          <w:szCs w:val="18"/>
          <w:lang w:eastAsia="pl-PL"/>
        </w:rPr>
        <w:br/>
      </w:r>
      <w:r w:rsidRPr="00CD1375">
        <w:rPr>
          <w:rFonts w:ascii="Tahoma" w:eastAsia="Times New Roman" w:hAnsi="Tahoma" w:cs="Tahoma"/>
          <w:b/>
          <w:bCs/>
          <w:color w:val="000000"/>
          <w:sz w:val="18"/>
          <w:szCs w:val="18"/>
          <w:lang w:eastAsia="pl-PL"/>
        </w:rPr>
        <w:t>W ogłoszeniu powinno być: </w:t>
      </w:r>
      <w:r w:rsidRPr="00CD1375">
        <w:rPr>
          <w:rFonts w:ascii="Tahoma" w:eastAsia="Times New Roman" w:hAnsi="Tahoma" w:cs="Tahoma"/>
          <w:color w:val="000000"/>
          <w:sz w:val="18"/>
          <w:szCs w:val="18"/>
          <w:lang w:eastAsia="pl-PL"/>
        </w:rPr>
        <w:t xml:space="preserve">Przedmiotem zamówienia jest: Rozbudowa sieci kanalizacji sanitarnej dla miejscowości Zadowice i części Woli Droszewskiej – Etap III. Zakres przedmiotu zamówienia dla rozbudowy sieci kanalizacji sanitarnej dla miejscowości: Zadowice oraz części Woli Droszewskiej obejmuje wykonanie następujących prac: - budowę sieci kanalizacji sanitarnej grawitacyjnej PVC-U 200 mm o dł. 3 905,5 m, - budowę sieci kanalizacji sanitarnej grawitacyjnej PVC-U 160 mm o dł. 332,0 m. - budowę rurociągu tłocznego PE 125 o dł. 2129,0 m, - budowę rurociągu tłocznego PE 110 o dł. 815,0 m, - budowę rurociągu tłocznego PE 90 o dł. 888,0 m, - budowę przepompowni - 4 szt. PS 5, PS 6, PS 7, PS 8, - prace związane z zasilaniem przepompowni w energię elektryczną. Łączna długość wybudowanej kanalizacji sanitarnej wyniesie 8 069,5 m, w tym 4 237,5 m sieci kanalizacji grawitacyjnej i 3 832,0 m rurociągu tłocznego. Zakres przedmiotu zamówienia obejmuje wykonanie następujących prac: 1. przygotowanie terenu pod budowę, 2. roboty ziemne, 3. odwadnianie gruntów, </w:t>
      </w:r>
      <w:r w:rsidRPr="00CD1375">
        <w:rPr>
          <w:rFonts w:ascii="Tahoma" w:eastAsia="Times New Roman" w:hAnsi="Tahoma" w:cs="Tahoma"/>
          <w:color w:val="000000"/>
          <w:sz w:val="18"/>
          <w:szCs w:val="18"/>
          <w:lang w:eastAsia="pl-PL"/>
        </w:rPr>
        <w:lastRenderedPageBreak/>
        <w:t xml:space="preserve">4. wznoszenie kompletnych obiektów budowlanych, 5. inżynieria lądowa i wodna, 6. roboty budowlane w zakresie budowy rurociągów, 7. kładzenie rurociągów, 8. rozbiórka elementów dróg, 9. odtworzenie nawierzchni drogowej wraz z podwójnym powierzchniowym utrwaleniem: Zamawiający wymaga odtworzenia uszkodzonej nawierzchni asfaltowej w następującej konstrukcji: podbudowa tłuczniowa grubości 23 cm, nawierzchnia asfaltowa grubości 4 cm i podwójne utrwalenie powierzchniowe na całej szerokości jezdni i długości odtwarzanej nawierzchni, 10. zapewnienia pełnej obsługi geodezyjnej, 11. zapewnienia nadzoru archeologicznego, 12. opracowania projektu organizacji ruchu drogowego, 13. wdrożenia i utrzymania oznakowania tymczasowego na czas realizacji robót, </w:t>
      </w:r>
      <w:r w:rsidRPr="00CD1375">
        <w:rPr>
          <w:rFonts w:ascii="Tahoma" w:eastAsia="Times New Roman" w:hAnsi="Tahoma" w:cs="Tahoma"/>
          <w:color w:val="000000"/>
          <w:sz w:val="18"/>
          <w:szCs w:val="18"/>
          <w:highlight w:val="yellow"/>
          <w:lang w:eastAsia="pl-PL"/>
        </w:rPr>
        <w:t>14. uzyskania zgody na zajęcie pasa drogowego i uiszczenie opłat oraz realizowanie robót zgodnie z Decyzjami Zarządu Dróg Powiatowych i Gminy Godziesze</w:t>
      </w:r>
      <w:bookmarkStart w:id="0" w:name="_GoBack"/>
      <w:bookmarkEnd w:id="0"/>
      <w:r w:rsidRPr="00CD1375">
        <w:rPr>
          <w:rFonts w:ascii="Tahoma" w:eastAsia="Times New Roman" w:hAnsi="Tahoma" w:cs="Tahoma"/>
          <w:color w:val="000000"/>
          <w:sz w:val="18"/>
          <w:szCs w:val="18"/>
          <w:highlight w:val="yellow"/>
          <w:lang w:eastAsia="pl-PL"/>
        </w:rPr>
        <w:t xml:space="preserve"> Wielkie</w:t>
      </w:r>
      <w:r w:rsidRPr="00CD1375">
        <w:rPr>
          <w:rFonts w:ascii="Tahoma" w:eastAsia="Times New Roman" w:hAnsi="Tahoma" w:cs="Tahoma"/>
          <w:color w:val="000000"/>
          <w:sz w:val="18"/>
          <w:szCs w:val="18"/>
          <w:lang w:eastAsia="pl-PL"/>
        </w:rPr>
        <w:t>, 15. powiadomienia zarządców nieruchomości o planowanym terminie prowadzenia robót budowlanych, 16. powiadomienia właścicieli instalacji uzbrojenia podziemnego o przystąpieniu do robót i zapewnienia wymaganych nadzorów branżowych, 17. wykonania wszelkich badań i prób w tym inspekcji TV kanałów sanitarnych, 18. wykonania inwentaryzacji geodezyjnej powykonawczej, 19. wykonania dokumentacji powykonawczej, 20. przywrócenia terenu i nawierzchni do stanu pierwotnego – w przypadku zajmowania przez Wykonawcę podczas realizacji robót terenów przyległych oraz uzyskania oświadczeń potwierdzających uporządkowanie terenu podpisanych przez właścicieli poszczególnych działek, .21. uzyskanie pozwolenia na użytkowanie. Szczegółowy zakres robót określa „Dokumentacja projektowa”, która stanowi załącznik nr 1 do SIWZ, Przedmiot zamówienia obejmuje wykonanie wszelkich robót budowlanych i czynności niezbędnych do prawidłowego zrealizowania przedmiotu zamówienia w zakresie rzeczowo-ilościowym określonym w przedmiarach robót i załączonej Dokumentacji projektowej, stanowiącej załącznik nr 1 do SIWZ. Wykonawca zobowiązany jest do wykonania przedmiotu zamówienia zgodnie z Dokumentacją projektową, zasadami wiedzy technicznej i sztuki budowlanej oraz obowiązującymi przepisami prawa.</w:t>
      </w:r>
    </w:p>
    <w:p w:rsidR="0079291D" w:rsidRDefault="0079291D"/>
    <w:sectPr w:rsidR="007929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B65"/>
    <w:rsid w:val="0079291D"/>
    <w:rsid w:val="00977B65"/>
    <w:rsid w:val="00CD13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871747">
      <w:bodyDiv w:val="1"/>
      <w:marLeft w:val="0"/>
      <w:marRight w:val="0"/>
      <w:marTop w:val="0"/>
      <w:marBottom w:val="0"/>
      <w:divBdr>
        <w:top w:val="none" w:sz="0" w:space="0" w:color="auto"/>
        <w:left w:val="none" w:sz="0" w:space="0" w:color="auto"/>
        <w:bottom w:val="none" w:sz="0" w:space="0" w:color="auto"/>
        <w:right w:val="none" w:sz="0" w:space="0" w:color="auto"/>
      </w:divBdr>
      <w:divsChild>
        <w:div w:id="119302933">
          <w:marLeft w:val="0"/>
          <w:marRight w:val="0"/>
          <w:marTop w:val="0"/>
          <w:marBottom w:val="0"/>
          <w:divBdr>
            <w:top w:val="none" w:sz="0" w:space="0" w:color="auto"/>
            <w:left w:val="none" w:sz="0" w:space="0" w:color="auto"/>
            <w:bottom w:val="none" w:sz="0" w:space="0" w:color="auto"/>
            <w:right w:val="none" w:sz="0" w:space="0" w:color="auto"/>
          </w:divBdr>
        </w:div>
        <w:div w:id="604963840">
          <w:marLeft w:val="0"/>
          <w:marRight w:val="0"/>
          <w:marTop w:val="0"/>
          <w:marBottom w:val="0"/>
          <w:divBdr>
            <w:top w:val="none" w:sz="0" w:space="0" w:color="auto"/>
            <w:left w:val="none" w:sz="0" w:space="0" w:color="auto"/>
            <w:bottom w:val="none" w:sz="0" w:space="0" w:color="auto"/>
            <w:right w:val="none" w:sz="0" w:space="0" w:color="auto"/>
          </w:divBdr>
        </w:div>
        <w:div w:id="464910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1018</Words>
  <Characters>6114</Characters>
  <Application>Microsoft Office Word</Application>
  <DocSecurity>0</DocSecurity>
  <Lines>50</Lines>
  <Paragraphs>14</Paragraphs>
  <ScaleCrop>false</ScaleCrop>
  <Company>Hewlett-Packard Company</Company>
  <LinksUpToDate>false</LinksUpToDate>
  <CharactersWithSpaces>7118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dc:creator>
  <cp:keywords/>
  <dc:description/>
  <cp:lastModifiedBy>Dorota</cp:lastModifiedBy>
  <cp:revision>2</cp:revision>
  <dcterms:created xsi:type="dcterms:W3CDTF">2020-02-03T13:56:00Z</dcterms:created>
  <dcterms:modified xsi:type="dcterms:W3CDTF">2020-02-03T13:56:00Z</dcterms:modified>
</cp:coreProperties>
</file>