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54D08" w:rsidRDefault="009A60DE" w:rsidP="008F5FB9">
      <w:pPr>
        <w:pStyle w:val="SmallTitle"/>
        <w:numPr>
          <w:ilvl w:val="0"/>
          <w:numId w:val="34"/>
        </w:numPr>
        <w:jc w:val="left"/>
      </w:pPr>
      <w:bookmarkStart w:id="0" w:name="_GoBack"/>
      <w:bookmarkEnd w:id="0"/>
      <w:r>
        <w:t>Informacja o wykonaniu budżetu Gminy Godziesze Wielkie</w:t>
      </w:r>
      <w:r>
        <w:br/>
        <w:t>za IV kwartał 2024 roku</w:t>
      </w:r>
    </w:p>
    <w:p w:rsidR="00954D08" w:rsidRDefault="009A60DE">
      <w:pPr>
        <w:jc w:val="both"/>
      </w:pPr>
      <w:r>
        <w:t>Zgodnie z art. 37 ust. 1 ustawy z dnia 27 sierpnia 2009 r. – o finansach publicznych (Dz. U. 202</w:t>
      </w:r>
      <w:r w:rsidR="009F3800">
        <w:t>4</w:t>
      </w:r>
      <w:r>
        <w:t xml:space="preserve"> r. poz. 1</w:t>
      </w:r>
      <w:r w:rsidR="009F3800">
        <w:t>53</w:t>
      </w:r>
      <w:r>
        <w:t xml:space="preserve">0 z </w:t>
      </w:r>
      <w:proofErr w:type="spellStart"/>
      <w:r>
        <w:t>późn</w:t>
      </w:r>
      <w:proofErr w:type="spellEnd"/>
      <w:r>
        <w:t>. zm.) Wójt Gminy Godziesze Wielkie podaje do publicznej wiadomości kwartalną informację o wykonaniu budżetu Gminy Godziesze Wielkie, w tym kwotę deficytu, oraz o udzielonych umorzeniach niepodatkowych należności budżetowych.</w:t>
      </w:r>
    </w:p>
    <w:p w:rsidR="00954D08" w:rsidRDefault="009A60DE">
      <w:pPr>
        <w:jc w:val="both"/>
      </w:pPr>
      <w:r>
        <w:t>Budżet Gminy w 2024 roku, który został przyjęty uchwałą Rady Gminy Rady Gminy Godziesze Wielkie nr LVII/416/2023 z dnia 20.12.2023 roku, zakładał:</w:t>
      </w:r>
    </w:p>
    <w:p w:rsidR="00954D08" w:rsidRDefault="009A60DE">
      <w:pPr>
        <w:pStyle w:val="Akapitzlist"/>
        <w:numPr>
          <w:ilvl w:val="0"/>
          <w:numId w:val="23"/>
        </w:numPr>
        <w:jc w:val="both"/>
      </w:pPr>
      <w:r>
        <w:t>uzyskanie dochodów w kwocie 60 175 964,76 zł;</w:t>
      </w:r>
    </w:p>
    <w:p w:rsidR="00954D08" w:rsidRDefault="009A60DE">
      <w:pPr>
        <w:pStyle w:val="Akapitzlist"/>
        <w:numPr>
          <w:ilvl w:val="0"/>
          <w:numId w:val="23"/>
        </w:numPr>
        <w:jc w:val="both"/>
      </w:pPr>
      <w:r>
        <w:t>realizację wydatków na poziomie 68 365 129,99 zł;</w:t>
      </w:r>
    </w:p>
    <w:p w:rsidR="00954D08" w:rsidRDefault="009A60DE">
      <w:pPr>
        <w:pStyle w:val="Akapitzlist"/>
        <w:numPr>
          <w:ilvl w:val="0"/>
          <w:numId w:val="23"/>
        </w:numPr>
        <w:jc w:val="both"/>
      </w:pPr>
      <w:r>
        <w:t>pozyskanie przychodów w kwocie 8 289 165,23 zł;</w:t>
      </w:r>
    </w:p>
    <w:p w:rsidR="00954D08" w:rsidRDefault="009A60DE">
      <w:pPr>
        <w:pStyle w:val="Akapitzlist"/>
        <w:numPr>
          <w:ilvl w:val="0"/>
          <w:numId w:val="23"/>
        </w:numPr>
        <w:jc w:val="both"/>
      </w:pPr>
      <w:r>
        <w:t>realizację rozchodów na poziomie 100 000,00 zł.</w:t>
      </w:r>
    </w:p>
    <w:p w:rsidR="00954D08" w:rsidRDefault="009A60DE">
      <w:pPr>
        <w:jc w:val="both"/>
      </w:pPr>
      <w:r>
        <w:t>Różnica między planem dochodów a planem wydatków wynosiła 8 189 165,23 zł i stanowiła planowany deficyt budżetu Gminy Godziesze Wielkie na 2024 rok. Planowana na 2024 rok wartość przychodów stanowiła źródło pokrycia powstałego deficytu, a w pozostałej części została przeznaczona na rozchody.</w:t>
      </w:r>
    </w:p>
    <w:p w:rsidR="00954D08" w:rsidRDefault="009A60DE">
      <w:pPr>
        <w:jc w:val="both"/>
      </w:pPr>
      <w:r>
        <w:t>W wyniku wprowadzonych zmian w 2024 roku:</w:t>
      </w:r>
    </w:p>
    <w:p w:rsidR="00954D08" w:rsidRDefault="009A60DE">
      <w:pPr>
        <w:pStyle w:val="Akapitzlist"/>
        <w:numPr>
          <w:ilvl w:val="0"/>
          <w:numId w:val="24"/>
        </w:numPr>
        <w:jc w:val="both"/>
      </w:pPr>
      <w:r>
        <w:t>plan dochodów wzrósł o 12 315 964,69 zł do kwoty 72 491 929,45 zł;</w:t>
      </w:r>
    </w:p>
    <w:p w:rsidR="00954D08" w:rsidRDefault="009A60DE">
      <w:pPr>
        <w:pStyle w:val="Akapitzlist"/>
        <w:numPr>
          <w:ilvl w:val="0"/>
          <w:numId w:val="24"/>
        </w:numPr>
        <w:jc w:val="both"/>
      </w:pPr>
      <w:r>
        <w:t>plan wydatków wzrósł o 10 719 604,46 zł do kwoty 79 084 734,45 zł;</w:t>
      </w:r>
    </w:p>
    <w:p w:rsidR="00954D08" w:rsidRDefault="009A60DE">
      <w:pPr>
        <w:pStyle w:val="Akapitzlist"/>
        <w:numPr>
          <w:ilvl w:val="0"/>
          <w:numId w:val="24"/>
        </w:numPr>
        <w:jc w:val="both"/>
      </w:pPr>
      <w:r>
        <w:t>plan przychodów wzrósł o 6 291 341,77 zł do kwoty 14 580 507,00 zł;</w:t>
      </w:r>
    </w:p>
    <w:p w:rsidR="00954D08" w:rsidRDefault="009A60DE">
      <w:pPr>
        <w:pStyle w:val="Akapitzlist"/>
        <w:numPr>
          <w:ilvl w:val="0"/>
          <w:numId w:val="24"/>
        </w:numPr>
        <w:jc w:val="both"/>
      </w:pPr>
      <w:r>
        <w:t>plan rozchodów wzrósł o 7 887 702,00 zł do kwoty 7 987 702,00 zł.</w:t>
      </w:r>
    </w:p>
    <w:p w:rsidR="00954D08" w:rsidRDefault="009A60DE">
      <w:pPr>
        <w:jc w:val="both"/>
      </w:pPr>
      <w:r>
        <w:t>Na dzień 31 grudnia 2024 roku budżet Gminy Godziesze Wielkie zamknął się planowanym deficytem budżetowym w kwocie 6 592 805,00 zł stanowiącym różnicę między planem dochodów a planem wydatków.</w:t>
      </w:r>
    </w:p>
    <w:p w:rsidR="00954D08" w:rsidRDefault="009A60DE">
      <w:pPr>
        <w:jc w:val="both"/>
      </w:pPr>
      <w:r>
        <w:t>W ujęciu tabelarycznym wykonanie budżetu za  2024 r. przedstawia poniższa tabela.</w:t>
      </w:r>
    </w:p>
    <w:tbl>
      <w:tblPr>
        <w:tblStyle w:val="TabelaCurulisEco"/>
        <w:tblW w:w="4840" w:type="pct"/>
        <w:tblLook w:val="04A0" w:firstRow="1" w:lastRow="0" w:firstColumn="1" w:lastColumn="0" w:noHBand="0" w:noVBand="1"/>
      </w:tblPr>
      <w:tblGrid>
        <w:gridCol w:w="391"/>
        <w:gridCol w:w="5221"/>
        <w:gridCol w:w="1033"/>
        <w:gridCol w:w="1033"/>
        <w:gridCol w:w="1033"/>
        <w:gridCol w:w="837"/>
      </w:tblGrid>
      <w:tr w:rsidR="00954D08" w:rsidTr="00C12E0C">
        <w:trPr>
          <w:cnfStyle w:val="100000000000" w:firstRow="1" w:lastRow="0" w:firstColumn="0" w:lastColumn="0" w:oddVBand="0" w:evenVBand="0" w:oddHBand="0" w:evenHBand="0" w:firstRowFirstColumn="0" w:firstRowLastColumn="0" w:lastRowFirstColumn="0" w:lastRowLastColumn="0"/>
          <w:trHeight w:val="920"/>
          <w:tblHeader/>
        </w:trPr>
        <w:tc>
          <w:tcPr>
            <w:cnfStyle w:val="001000000000" w:firstRow="0" w:lastRow="0" w:firstColumn="1" w:lastColumn="0" w:oddVBand="0" w:evenVBand="0" w:oddHBand="0" w:evenHBand="0" w:firstRowFirstColumn="0" w:firstRowLastColumn="0" w:lastRowFirstColumn="0" w:lastRowLastColumn="0"/>
            <w:tcW w:w="198" w:type="pct"/>
            <w:tcMar>
              <w:top w:w="11" w:type="dxa"/>
              <w:left w:w="85" w:type="dxa"/>
              <w:bottom w:w="6" w:type="dxa"/>
              <w:right w:w="85" w:type="dxa"/>
            </w:tcMar>
          </w:tcPr>
          <w:p w:rsidR="00954D08" w:rsidRDefault="009A60DE">
            <w:pPr>
              <w:rPr>
                <w:sz w:val="15"/>
                <w:szCs w:val="15"/>
              </w:rPr>
            </w:pPr>
            <w:r>
              <w:rPr>
                <w:sz w:val="15"/>
                <w:szCs w:val="15"/>
              </w:rPr>
              <w:t>Lp.</w:t>
            </w:r>
          </w:p>
        </w:tc>
        <w:tc>
          <w:tcPr>
            <w:tcW w:w="2807" w:type="pct"/>
            <w:tcMar>
              <w:top w:w="11" w:type="dxa"/>
              <w:left w:w="85" w:type="dxa"/>
              <w:bottom w:w="6" w:type="dxa"/>
              <w:right w:w="85" w:type="dxa"/>
            </w:tcMar>
          </w:tcPr>
          <w:p w:rsidR="00954D08" w:rsidRDefault="009A60DE">
            <w:pPr>
              <w:cnfStyle w:val="100000000000" w:firstRow="1" w:lastRow="0" w:firstColumn="0" w:lastColumn="0" w:oddVBand="0" w:evenVBand="0" w:oddHBand="0" w:evenHBand="0" w:firstRowFirstColumn="0" w:firstRowLastColumn="0" w:lastRowFirstColumn="0" w:lastRowLastColumn="0"/>
              <w:rPr>
                <w:sz w:val="15"/>
                <w:szCs w:val="15"/>
              </w:rPr>
            </w:pPr>
            <w:r>
              <w:rPr>
                <w:sz w:val="15"/>
                <w:szCs w:val="15"/>
              </w:rPr>
              <w:t>Wyszczególnienie</w:t>
            </w:r>
          </w:p>
        </w:tc>
        <w:tc>
          <w:tcPr>
            <w:tcW w:w="524" w:type="pct"/>
            <w:tcMar>
              <w:top w:w="11" w:type="dxa"/>
              <w:left w:w="85" w:type="dxa"/>
              <w:bottom w:w="6" w:type="dxa"/>
              <w:right w:w="85" w:type="dxa"/>
            </w:tcMar>
          </w:tcPr>
          <w:p w:rsidR="00954D08" w:rsidRDefault="009A60DE">
            <w:pPr>
              <w:cnfStyle w:val="100000000000" w:firstRow="1" w:lastRow="0" w:firstColumn="0" w:lastColumn="0" w:oddVBand="0" w:evenVBand="0" w:oddHBand="0" w:evenHBand="0" w:firstRowFirstColumn="0" w:firstRowLastColumn="0" w:lastRowFirstColumn="0" w:lastRowLastColumn="0"/>
              <w:rPr>
                <w:sz w:val="15"/>
                <w:szCs w:val="15"/>
              </w:rPr>
            </w:pPr>
            <w:r>
              <w:rPr>
                <w:sz w:val="15"/>
                <w:szCs w:val="15"/>
              </w:rPr>
              <w:t>Plan na 1.01.2024 r. (w zł)</w:t>
            </w:r>
          </w:p>
        </w:tc>
        <w:tc>
          <w:tcPr>
            <w:tcW w:w="524" w:type="pct"/>
            <w:tcMar>
              <w:top w:w="11" w:type="dxa"/>
              <w:left w:w="85" w:type="dxa"/>
              <w:bottom w:w="6" w:type="dxa"/>
              <w:right w:w="85" w:type="dxa"/>
            </w:tcMar>
          </w:tcPr>
          <w:p w:rsidR="00954D08" w:rsidRDefault="009A60DE">
            <w:pPr>
              <w:cnfStyle w:val="100000000000" w:firstRow="1" w:lastRow="0" w:firstColumn="0" w:lastColumn="0" w:oddVBand="0" w:evenVBand="0" w:oddHBand="0" w:evenHBand="0" w:firstRowFirstColumn="0" w:firstRowLastColumn="0" w:lastRowFirstColumn="0" w:lastRowLastColumn="0"/>
              <w:rPr>
                <w:sz w:val="15"/>
                <w:szCs w:val="15"/>
              </w:rPr>
            </w:pPr>
            <w:r>
              <w:rPr>
                <w:sz w:val="15"/>
                <w:szCs w:val="15"/>
              </w:rPr>
              <w:t>Plan na 31.12.2024 r. (w zł)</w:t>
            </w:r>
          </w:p>
        </w:tc>
        <w:tc>
          <w:tcPr>
            <w:tcW w:w="524" w:type="pct"/>
            <w:tcMar>
              <w:top w:w="11" w:type="dxa"/>
              <w:left w:w="85" w:type="dxa"/>
              <w:bottom w:w="6" w:type="dxa"/>
              <w:right w:w="85" w:type="dxa"/>
            </w:tcMar>
          </w:tcPr>
          <w:p w:rsidR="00954D08" w:rsidRDefault="009A60DE">
            <w:pPr>
              <w:cnfStyle w:val="100000000000" w:firstRow="1" w:lastRow="0" w:firstColumn="0" w:lastColumn="0" w:oddVBand="0" w:evenVBand="0" w:oddHBand="0" w:evenHBand="0" w:firstRowFirstColumn="0" w:firstRowLastColumn="0" w:lastRowFirstColumn="0" w:lastRowLastColumn="0"/>
              <w:rPr>
                <w:sz w:val="15"/>
                <w:szCs w:val="15"/>
              </w:rPr>
            </w:pPr>
            <w:r>
              <w:rPr>
                <w:sz w:val="15"/>
                <w:szCs w:val="15"/>
              </w:rPr>
              <w:t>Wykonanie (w zł)</w:t>
            </w:r>
          </w:p>
        </w:tc>
        <w:tc>
          <w:tcPr>
            <w:tcW w:w="424" w:type="pct"/>
            <w:tcMar>
              <w:top w:w="11" w:type="dxa"/>
              <w:left w:w="85" w:type="dxa"/>
              <w:bottom w:w="6" w:type="dxa"/>
              <w:right w:w="85" w:type="dxa"/>
            </w:tcMar>
          </w:tcPr>
          <w:p w:rsidR="00954D08" w:rsidRDefault="009A60DE">
            <w:pPr>
              <w:cnfStyle w:val="100000000000" w:firstRow="1" w:lastRow="0" w:firstColumn="0" w:lastColumn="0" w:oddVBand="0" w:evenVBand="0" w:oddHBand="0" w:evenHBand="0" w:firstRowFirstColumn="0" w:firstRowLastColumn="0" w:lastRowFirstColumn="0" w:lastRowLastColumn="0"/>
              <w:rPr>
                <w:sz w:val="15"/>
                <w:szCs w:val="15"/>
              </w:rPr>
            </w:pPr>
            <w:r>
              <w:rPr>
                <w:sz w:val="15"/>
                <w:szCs w:val="15"/>
              </w:rPr>
              <w:t>Realizacja planu po zmianach (w %)</w:t>
            </w:r>
          </w:p>
        </w:tc>
      </w:tr>
      <w:tr w:rsidR="00954D08" w:rsidTr="00C12E0C">
        <w:trPr>
          <w:trHeight w:val="209"/>
        </w:trPr>
        <w:tc>
          <w:tcPr>
            <w:cnfStyle w:val="001000000000" w:firstRow="0" w:lastRow="0" w:firstColumn="1" w:lastColumn="0" w:oddVBand="0" w:evenVBand="0" w:oddHBand="0" w:evenHBand="0" w:firstRowFirstColumn="0" w:firstRowLastColumn="0" w:lastRowFirstColumn="0" w:lastRowLastColumn="0"/>
            <w:tcW w:w="198" w:type="pct"/>
            <w:tcMar>
              <w:top w:w="11" w:type="dxa"/>
              <w:left w:w="85" w:type="dxa"/>
              <w:bottom w:w="6" w:type="dxa"/>
              <w:right w:w="85" w:type="dxa"/>
            </w:tcMar>
          </w:tcPr>
          <w:p w:rsidR="00954D08" w:rsidRDefault="009A60DE">
            <w:pPr>
              <w:jc w:val="center"/>
              <w:rPr>
                <w:b/>
                <w:bCs/>
                <w:sz w:val="15"/>
                <w:szCs w:val="15"/>
              </w:rPr>
            </w:pPr>
            <w:r>
              <w:rPr>
                <w:b/>
                <w:bCs/>
                <w:sz w:val="15"/>
                <w:szCs w:val="15"/>
              </w:rPr>
              <w:t>I.</w:t>
            </w:r>
          </w:p>
        </w:tc>
        <w:tc>
          <w:tcPr>
            <w:tcW w:w="2807" w:type="pct"/>
            <w:tcMar>
              <w:top w:w="11" w:type="dxa"/>
              <w:left w:w="85" w:type="dxa"/>
              <w:bottom w:w="6" w:type="dxa"/>
              <w:right w:w="85" w:type="dxa"/>
            </w:tcMar>
          </w:tcPr>
          <w:p w:rsidR="00954D08" w:rsidRDefault="009A60DE">
            <w:pPr>
              <w:jc w:val="left"/>
              <w:cnfStyle w:val="000000000000" w:firstRow="0" w:lastRow="0" w:firstColumn="0" w:lastColumn="0" w:oddVBand="0" w:evenVBand="0" w:oddHBand="0" w:evenHBand="0" w:firstRowFirstColumn="0" w:firstRowLastColumn="0" w:lastRowFirstColumn="0" w:lastRowLastColumn="0"/>
              <w:rPr>
                <w:b/>
                <w:bCs/>
                <w:sz w:val="15"/>
                <w:szCs w:val="15"/>
              </w:rPr>
            </w:pPr>
            <w:r>
              <w:rPr>
                <w:b/>
                <w:bCs/>
                <w:sz w:val="15"/>
                <w:szCs w:val="15"/>
              </w:rPr>
              <w:t>Dochody ogółem, w tym:</w:t>
            </w:r>
          </w:p>
        </w:tc>
        <w:tc>
          <w:tcPr>
            <w:tcW w:w="524"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b/>
                <w:bCs/>
                <w:sz w:val="15"/>
                <w:szCs w:val="15"/>
              </w:rPr>
            </w:pPr>
            <w:r>
              <w:rPr>
                <w:b/>
                <w:bCs/>
                <w:sz w:val="15"/>
                <w:szCs w:val="15"/>
              </w:rPr>
              <w:t>60 175 964,76</w:t>
            </w:r>
          </w:p>
        </w:tc>
        <w:tc>
          <w:tcPr>
            <w:tcW w:w="524"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b/>
                <w:bCs/>
                <w:sz w:val="15"/>
                <w:szCs w:val="15"/>
              </w:rPr>
            </w:pPr>
            <w:r>
              <w:rPr>
                <w:b/>
                <w:bCs/>
                <w:sz w:val="15"/>
                <w:szCs w:val="15"/>
              </w:rPr>
              <w:t>72 491 929,45</w:t>
            </w:r>
          </w:p>
        </w:tc>
        <w:tc>
          <w:tcPr>
            <w:tcW w:w="524"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b/>
                <w:bCs/>
                <w:sz w:val="15"/>
                <w:szCs w:val="15"/>
              </w:rPr>
            </w:pPr>
            <w:r>
              <w:rPr>
                <w:b/>
                <w:bCs/>
                <w:sz w:val="15"/>
                <w:szCs w:val="15"/>
              </w:rPr>
              <w:t>73 182 638,61</w:t>
            </w:r>
          </w:p>
        </w:tc>
        <w:tc>
          <w:tcPr>
            <w:tcW w:w="424"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b/>
                <w:bCs/>
                <w:sz w:val="15"/>
                <w:szCs w:val="15"/>
              </w:rPr>
            </w:pPr>
            <w:r>
              <w:rPr>
                <w:b/>
                <w:bCs/>
                <w:sz w:val="15"/>
                <w:szCs w:val="15"/>
              </w:rPr>
              <w:t>100,95%</w:t>
            </w:r>
          </w:p>
        </w:tc>
      </w:tr>
      <w:tr w:rsidR="00954D08" w:rsidTr="00C12E0C">
        <w:trPr>
          <w:trHeight w:val="223"/>
        </w:trPr>
        <w:tc>
          <w:tcPr>
            <w:cnfStyle w:val="001000000000" w:firstRow="0" w:lastRow="0" w:firstColumn="1" w:lastColumn="0" w:oddVBand="0" w:evenVBand="0" w:oddHBand="0" w:evenHBand="0" w:firstRowFirstColumn="0" w:firstRowLastColumn="0" w:lastRowFirstColumn="0" w:lastRowLastColumn="0"/>
            <w:tcW w:w="198" w:type="pct"/>
            <w:tcMar>
              <w:top w:w="11" w:type="dxa"/>
              <w:left w:w="85" w:type="dxa"/>
              <w:bottom w:w="6" w:type="dxa"/>
              <w:right w:w="85" w:type="dxa"/>
            </w:tcMar>
          </w:tcPr>
          <w:p w:rsidR="00954D08" w:rsidRDefault="009A60DE">
            <w:pPr>
              <w:jc w:val="center"/>
              <w:rPr>
                <w:sz w:val="15"/>
                <w:szCs w:val="15"/>
              </w:rPr>
            </w:pPr>
            <w:r>
              <w:rPr>
                <w:sz w:val="15"/>
                <w:szCs w:val="15"/>
              </w:rPr>
              <w:t>1.</w:t>
            </w:r>
          </w:p>
        </w:tc>
        <w:tc>
          <w:tcPr>
            <w:tcW w:w="2807" w:type="pct"/>
            <w:tcMar>
              <w:top w:w="11" w:type="dxa"/>
              <w:left w:w="85" w:type="dxa"/>
              <w:bottom w:w="6" w:type="dxa"/>
              <w:right w:w="85" w:type="dxa"/>
            </w:tcMar>
          </w:tcPr>
          <w:p w:rsidR="00954D08" w:rsidRDefault="009A60DE">
            <w:pPr>
              <w:jc w:val="left"/>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Dochody bieżące, w tym:</w:t>
            </w:r>
          </w:p>
        </w:tc>
        <w:tc>
          <w:tcPr>
            <w:tcW w:w="524"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51 494 211,94</w:t>
            </w:r>
          </w:p>
        </w:tc>
        <w:tc>
          <w:tcPr>
            <w:tcW w:w="524"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63 815 261,93</w:t>
            </w:r>
          </w:p>
        </w:tc>
        <w:tc>
          <w:tcPr>
            <w:tcW w:w="524"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64 493 471,09</w:t>
            </w:r>
          </w:p>
        </w:tc>
        <w:tc>
          <w:tcPr>
            <w:tcW w:w="424"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101,06%</w:t>
            </w:r>
          </w:p>
        </w:tc>
      </w:tr>
      <w:tr w:rsidR="00954D08" w:rsidTr="00C12E0C">
        <w:trPr>
          <w:trHeight w:val="223"/>
        </w:trPr>
        <w:tc>
          <w:tcPr>
            <w:cnfStyle w:val="001000000000" w:firstRow="0" w:lastRow="0" w:firstColumn="1" w:lastColumn="0" w:oddVBand="0" w:evenVBand="0" w:oddHBand="0" w:evenHBand="0" w:firstRowFirstColumn="0" w:firstRowLastColumn="0" w:lastRowFirstColumn="0" w:lastRowLastColumn="0"/>
            <w:tcW w:w="198" w:type="pct"/>
            <w:tcMar>
              <w:top w:w="11" w:type="dxa"/>
              <w:left w:w="85" w:type="dxa"/>
              <w:bottom w:w="6" w:type="dxa"/>
              <w:right w:w="85" w:type="dxa"/>
            </w:tcMar>
          </w:tcPr>
          <w:p w:rsidR="00954D08" w:rsidRDefault="00954D08">
            <w:pPr>
              <w:rPr>
                <w:i/>
                <w:iCs/>
                <w:sz w:val="15"/>
                <w:szCs w:val="15"/>
              </w:rPr>
            </w:pPr>
          </w:p>
        </w:tc>
        <w:tc>
          <w:tcPr>
            <w:tcW w:w="2807"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Dotacje i dochody celowe</w:t>
            </w:r>
          </w:p>
        </w:tc>
        <w:tc>
          <w:tcPr>
            <w:tcW w:w="524"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5 523 241,00</w:t>
            </w:r>
          </w:p>
        </w:tc>
        <w:tc>
          <w:tcPr>
            <w:tcW w:w="524"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11 551 830,97</w:t>
            </w:r>
          </w:p>
        </w:tc>
        <w:tc>
          <w:tcPr>
            <w:tcW w:w="524"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11 368 665,38</w:t>
            </w:r>
          </w:p>
        </w:tc>
        <w:tc>
          <w:tcPr>
            <w:tcW w:w="424"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98,41%</w:t>
            </w:r>
          </w:p>
        </w:tc>
      </w:tr>
      <w:tr w:rsidR="00954D08" w:rsidTr="00C12E0C">
        <w:trPr>
          <w:trHeight w:val="223"/>
        </w:trPr>
        <w:tc>
          <w:tcPr>
            <w:cnfStyle w:val="001000000000" w:firstRow="0" w:lastRow="0" w:firstColumn="1" w:lastColumn="0" w:oddVBand="0" w:evenVBand="0" w:oddHBand="0" w:evenHBand="0" w:firstRowFirstColumn="0" w:firstRowLastColumn="0" w:lastRowFirstColumn="0" w:lastRowLastColumn="0"/>
            <w:tcW w:w="198" w:type="pct"/>
            <w:tcMar>
              <w:top w:w="11" w:type="dxa"/>
              <w:left w:w="85" w:type="dxa"/>
              <w:bottom w:w="6" w:type="dxa"/>
              <w:right w:w="85" w:type="dxa"/>
            </w:tcMar>
          </w:tcPr>
          <w:p w:rsidR="00954D08" w:rsidRDefault="00954D08">
            <w:pPr>
              <w:rPr>
                <w:i/>
                <w:iCs/>
                <w:sz w:val="15"/>
                <w:szCs w:val="15"/>
              </w:rPr>
            </w:pPr>
          </w:p>
        </w:tc>
        <w:tc>
          <w:tcPr>
            <w:tcW w:w="2807"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Subwencja ogólna</w:t>
            </w:r>
          </w:p>
        </w:tc>
        <w:tc>
          <w:tcPr>
            <w:tcW w:w="524"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23 366 257,00</w:t>
            </w:r>
          </w:p>
        </w:tc>
        <w:tc>
          <w:tcPr>
            <w:tcW w:w="524"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26 981 609,00</w:t>
            </w:r>
          </w:p>
        </w:tc>
        <w:tc>
          <w:tcPr>
            <w:tcW w:w="524"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26 981 609,00</w:t>
            </w:r>
          </w:p>
        </w:tc>
        <w:tc>
          <w:tcPr>
            <w:tcW w:w="424"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100,00%</w:t>
            </w:r>
          </w:p>
        </w:tc>
      </w:tr>
      <w:tr w:rsidR="00954D08" w:rsidTr="00C12E0C">
        <w:trPr>
          <w:trHeight w:val="209"/>
        </w:trPr>
        <w:tc>
          <w:tcPr>
            <w:cnfStyle w:val="001000000000" w:firstRow="0" w:lastRow="0" w:firstColumn="1" w:lastColumn="0" w:oddVBand="0" w:evenVBand="0" w:oddHBand="0" w:evenHBand="0" w:firstRowFirstColumn="0" w:firstRowLastColumn="0" w:lastRowFirstColumn="0" w:lastRowLastColumn="0"/>
            <w:tcW w:w="198" w:type="pct"/>
            <w:tcMar>
              <w:top w:w="11" w:type="dxa"/>
              <w:left w:w="85" w:type="dxa"/>
              <w:bottom w:w="6" w:type="dxa"/>
              <w:right w:w="85" w:type="dxa"/>
            </w:tcMar>
          </w:tcPr>
          <w:p w:rsidR="00954D08" w:rsidRDefault="00954D08">
            <w:pPr>
              <w:rPr>
                <w:i/>
                <w:iCs/>
                <w:sz w:val="15"/>
                <w:szCs w:val="15"/>
              </w:rPr>
            </w:pPr>
          </w:p>
        </w:tc>
        <w:tc>
          <w:tcPr>
            <w:tcW w:w="2807"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Udziały w PIT i CIT</w:t>
            </w:r>
          </w:p>
        </w:tc>
        <w:tc>
          <w:tcPr>
            <w:tcW w:w="524"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9 481 698,00</w:t>
            </w:r>
          </w:p>
        </w:tc>
        <w:tc>
          <w:tcPr>
            <w:tcW w:w="524"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10 540 269,00</w:t>
            </w:r>
          </w:p>
        </w:tc>
        <w:tc>
          <w:tcPr>
            <w:tcW w:w="524"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10 540 269,00</w:t>
            </w:r>
          </w:p>
        </w:tc>
        <w:tc>
          <w:tcPr>
            <w:tcW w:w="424"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100,00%</w:t>
            </w:r>
          </w:p>
        </w:tc>
      </w:tr>
      <w:tr w:rsidR="00954D08" w:rsidTr="00C12E0C">
        <w:trPr>
          <w:trHeight w:val="223"/>
        </w:trPr>
        <w:tc>
          <w:tcPr>
            <w:cnfStyle w:val="001000000000" w:firstRow="0" w:lastRow="0" w:firstColumn="1" w:lastColumn="0" w:oddVBand="0" w:evenVBand="0" w:oddHBand="0" w:evenHBand="0" w:firstRowFirstColumn="0" w:firstRowLastColumn="0" w:lastRowFirstColumn="0" w:lastRowLastColumn="0"/>
            <w:tcW w:w="198" w:type="pct"/>
            <w:tcMar>
              <w:top w:w="11" w:type="dxa"/>
              <w:left w:w="85" w:type="dxa"/>
              <w:bottom w:w="6" w:type="dxa"/>
              <w:right w:w="85" w:type="dxa"/>
            </w:tcMar>
          </w:tcPr>
          <w:p w:rsidR="00954D08" w:rsidRDefault="00954D08">
            <w:pPr>
              <w:rPr>
                <w:i/>
                <w:iCs/>
                <w:sz w:val="15"/>
                <w:szCs w:val="15"/>
              </w:rPr>
            </w:pPr>
          </w:p>
        </w:tc>
        <w:tc>
          <w:tcPr>
            <w:tcW w:w="2807"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Wpływy z podatków i opłat</w:t>
            </w:r>
          </w:p>
        </w:tc>
        <w:tc>
          <w:tcPr>
            <w:tcW w:w="524"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10 168 503,00</w:t>
            </w:r>
          </w:p>
        </w:tc>
        <w:tc>
          <w:tcPr>
            <w:tcW w:w="524"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10 629 197,27</w:t>
            </w:r>
          </w:p>
        </w:tc>
        <w:tc>
          <w:tcPr>
            <w:tcW w:w="524"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10 804 447,92</w:t>
            </w:r>
          </w:p>
        </w:tc>
        <w:tc>
          <w:tcPr>
            <w:tcW w:w="424"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101,65%</w:t>
            </w:r>
          </w:p>
        </w:tc>
      </w:tr>
      <w:tr w:rsidR="00954D08" w:rsidTr="00C12E0C">
        <w:trPr>
          <w:trHeight w:val="223"/>
        </w:trPr>
        <w:tc>
          <w:tcPr>
            <w:cnfStyle w:val="001000000000" w:firstRow="0" w:lastRow="0" w:firstColumn="1" w:lastColumn="0" w:oddVBand="0" w:evenVBand="0" w:oddHBand="0" w:evenHBand="0" w:firstRowFirstColumn="0" w:firstRowLastColumn="0" w:lastRowFirstColumn="0" w:lastRowLastColumn="0"/>
            <w:tcW w:w="198" w:type="pct"/>
            <w:tcMar>
              <w:top w:w="11" w:type="dxa"/>
              <w:left w:w="85" w:type="dxa"/>
              <w:bottom w:w="6" w:type="dxa"/>
              <w:right w:w="85" w:type="dxa"/>
            </w:tcMar>
          </w:tcPr>
          <w:p w:rsidR="00954D08" w:rsidRDefault="00954D08">
            <w:pPr>
              <w:rPr>
                <w:i/>
                <w:iCs/>
                <w:sz w:val="15"/>
                <w:szCs w:val="15"/>
              </w:rPr>
            </w:pPr>
          </w:p>
        </w:tc>
        <w:tc>
          <w:tcPr>
            <w:tcW w:w="2807"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Pozostałe dochody bieżące</w:t>
            </w:r>
          </w:p>
        </w:tc>
        <w:tc>
          <w:tcPr>
            <w:tcW w:w="524"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2 954 512,94</w:t>
            </w:r>
          </w:p>
        </w:tc>
        <w:tc>
          <w:tcPr>
            <w:tcW w:w="524"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4 112 355,69</w:t>
            </w:r>
          </w:p>
        </w:tc>
        <w:tc>
          <w:tcPr>
            <w:tcW w:w="524"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4 798 479,79</w:t>
            </w:r>
          </w:p>
        </w:tc>
        <w:tc>
          <w:tcPr>
            <w:tcW w:w="424"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116,68%</w:t>
            </w:r>
          </w:p>
        </w:tc>
      </w:tr>
      <w:tr w:rsidR="00954D08" w:rsidTr="00C12E0C">
        <w:trPr>
          <w:trHeight w:val="223"/>
        </w:trPr>
        <w:tc>
          <w:tcPr>
            <w:cnfStyle w:val="001000000000" w:firstRow="0" w:lastRow="0" w:firstColumn="1" w:lastColumn="0" w:oddVBand="0" w:evenVBand="0" w:oddHBand="0" w:evenHBand="0" w:firstRowFirstColumn="0" w:firstRowLastColumn="0" w:lastRowFirstColumn="0" w:lastRowLastColumn="0"/>
            <w:tcW w:w="198" w:type="pct"/>
            <w:tcMar>
              <w:top w:w="11" w:type="dxa"/>
              <w:left w:w="85" w:type="dxa"/>
              <w:bottom w:w="6" w:type="dxa"/>
              <w:right w:w="85" w:type="dxa"/>
            </w:tcMar>
          </w:tcPr>
          <w:p w:rsidR="00954D08" w:rsidRDefault="009A60DE">
            <w:pPr>
              <w:jc w:val="center"/>
              <w:rPr>
                <w:sz w:val="15"/>
                <w:szCs w:val="15"/>
              </w:rPr>
            </w:pPr>
            <w:r>
              <w:rPr>
                <w:sz w:val="15"/>
                <w:szCs w:val="15"/>
              </w:rPr>
              <w:t>2.</w:t>
            </w:r>
          </w:p>
        </w:tc>
        <w:tc>
          <w:tcPr>
            <w:tcW w:w="2807" w:type="pct"/>
            <w:tcMar>
              <w:top w:w="11" w:type="dxa"/>
              <w:left w:w="85" w:type="dxa"/>
              <w:bottom w:w="6" w:type="dxa"/>
              <w:right w:w="85" w:type="dxa"/>
            </w:tcMar>
          </w:tcPr>
          <w:p w:rsidR="00954D08" w:rsidRDefault="009A60DE">
            <w:pPr>
              <w:jc w:val="left"/>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Dochody majątkowe, w tym:</w:t>
            </w:r>
          </w:p>
        </w:tc>
        <w:tc>
          <w:tcPr>
            <w:tcW w:w="524"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8 681 752,82</w:t>
            </w:r>
          </w:p>
        </w:tc>
        <w:tc>
          <w:tcPr>
            <w:tcW w:w="524"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8 676 667,52</w:t>
            </w:r>
          </w:p>
        </w:tc>
        <w:tc>
          <w:tcPr>
            <w:tcW w:w="524"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8 689 167,52</w:t>
            </w:r>
          </w:p>
        </w:tc>
        <w:tc>
          <w:tcPr>
            <w:tcW w:w="424"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100,14%</w:t>
            </w:r>
          </w:p>
        </w:tc>
      </w:tr>
      <w:tr w:rsidR="00954D08" w:rsidTr="00C12E0C">
        <w:trPr>
          <w:trHeight w:val="223"/>
        </w:trPr>
        <w:tc>
          <w:tcPr>
            <w:cnfStyle w:val="001000000000" w:firstRow="0" w:lastRow="0" w:firstColumn="1" w:lastColumn="0" w:oddVBand="0" w:evenVBand="0" w:oddHBand="0" w:evenHBand="0" w:firstRowFirstColumn="0" w:firstRowLastColumn="0" w:lastRowFirstColumn="0" w:lastRowLastColumn="0"/>
            <w:tcW w:w="198" w:type="pct"/>
            <w:tcMar>
              <w:top w:w="11" w:type="dxa"/>
              <w:left w:w="85" w:type="dxa"/>
              <w:bottom w:w="6" w:type="dxa"/>
              <w:right w:w="85" w:type="dxa"/>
            </w:tcMar>
          </w:tcPr>
          <w:p w:rsidR="00954D08" w:rsidRDefault="00954D08">
            <w:pPr>
              <w:rPr>
                <w:i/>
                <w:iCs/>
                <w:sz w:val="15"/>
                <w:szCs w:val="15"/>
              </w:rPr>
            </w:pPr>
          </w:p>
        </w:tc>
        <w:tc>
          <w:tcPr>
            <w:tcW w:w="2807"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Dochody z majątku</w:t>
            </w:r>
          </w:p>
        </w:tc>
        <w:tc>
          <w:tcPr>
            <w:tcW w:w="524"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0,00</w:t>
            </w:r>
          </w:p>
        </w:tc>
        <w:tc>
          <w:tcPr>
            <w:tcW w:w="524"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202 980,20</w:t>
            </w:r>
          </w:p>
        </w:tc>
        <w:tc>
          <w:tcPr>
            <w:tcW w:w="524"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215 480,20</w:t>
            </w:r>
          </w:p>
        </w:tc>
        <w:tc>
          <w:tcPr>
            <w:tcW w:w="424"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106,16%</w:t>
            </w:r>
          </w:p>
        </w:tc>
      </w:tr>
      <w:tr w:rsidR="00954D08" w:rsidTr="00C12E0C">
        <w:trPr>
          <w:trHeight w:val="209"/>
        </w:trPr>
        <w:tc>
          <w:tcPr>
            <w:cnfStyle w:val="001000000000" w:firstRow="0" w:lastRow="0" w:firstColumn="1" w:lastColumn="0" w:oddVBand="0" w:evenVBand="0" w:oddHBand="0" w:evenHBand="0" w:firstRowFirstColumn="0" w:firstRowLastColumn="0" w:lastRowFirstColumn="0" w:lastRowLastColumn="0"/>
            <w:tcW w:w="198" w:type="pct"/>
            <w:tcMar>
              <w:top w:w="11" w:type="dxa"/>
              <w:left w:w="85" w:type="dxa"/>
              <w:bottom w:w="6" w:type="dxa"/>
              <w:right w:w="85" w:type="dxa"/>
            </w:tcMar>
          </w:tcPr>
          <w:p w:rsidR="00954D08" w:rsidRDefault="00954D08">
            <w:pPr>
              <w:rPr>
                <w:i/>
                <w:iCs/>
                <w:sz w:val="15"/>
                <w:szCs w:val="15"/>
              </w:rPr>
            </w:pPr>
          </w:p>
        </w:tc>
        <w:tc>
          <w:tcPr>
            <w:tcW w:w="2807"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Dotacje i środki na inwestycje</w:t>
            </w:r>
          </w:p>
        </w:tc>
        <w:tc>
          <w:tcPr>
            <w:tcW w:w="524"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8 681 752,82</w:t>
            </w:r>
          </w:p>
        </w:tc>
        <w:tc>
          <w:tcPr>
            <w:tcW w:w="524"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8 390 687,32</w:t>
            </w:r>
          </w:p>
        </w:tc>
        <w:tc>
          <w:tcPr>
            <w:tcW w:w="524"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8 390 687,32</w:t>
            </w:r>
          </w:p>
        </w:tc>
        <w:tc>
          <w:tcPr>
            <w:tcW w:w="424"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100,00%</w:t>
            </w:r>
          </w:p>
        </w:tc>
      </w:tr>
      <w:tr w:rsidR="00954D08" w:rsidTr="00C12E0C">
        <w:trPr>
          <w:trHeight w:val="223"/>
        </w:trPr>
        <w:tc>
          <w:tcPr>
            <w:cnfStyle w:val="001000000000" w:firstRow="0" w:lastRow="0" w:firstColumn="1" w:lastColumn="0" w:oddVBand="0" w:evenVBand="0" w:oddHBand="0" w:evenHBand="0" w:firstRowFirstColumn="0" w:firstRowLastColumn="0" w:lastRowFirstColumn="0" w:lastRowLastColumn="0"/>
            <w:tcW w:w="198" w:type="pct"/>
            <w:tcMar>
              <w:top w:w="11" w:type="dxa"/>
              <w:left w:w="85" w:type="dxa"/>
              <w:bottom w:w="6" w:type="dxa"/>
              <w:right w:w="85" w:type="dxa"/>
            </w:tcMar>
          </w:tcPr>
          <w:p w:rsidR="00954D08" w:rsidRDefault="00954D08">
            <w:pPr>
              <w:rPr>
                <w:i/>
                <w:iCs/>
                <w:sz w:val="15"/>
                <w:szCs w:val="15"/>
              </w:rPr>
            </w:pPr>
          </w:p>
        </w:tc>
        <w:tc>
          <w:tcPr>
            <w:tcW w:w="2807"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Pozostałe dochody majątkowe</w:t>
            </w:r>
          </w:p>
        </w:tc>
        <w:tc>
          <w:tcPr>
            <w:tcW w:w="524"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0,00</w:t>
            </w:r>
          </w:p>
        </w:tc>
        <w:tc>
          <w:tcPr>
            <w:tcW w:w="524"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83 000,00</w:t>
            </w:r>
          </w:p>
        </w:tc>
        <w:tc>
          <w:tcPr>
            <w:tcW w:w="524"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83 000,00</w:t>
            </w:r>
          </w:p>
        </w:tc>
        <w:tc>
          <w:tcPr>
            <w:tcW w:w="424"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100,00%</w:t>
            </w:r>
          </w:p>
        </w:tc>
      </w:tr>
      <w:tr w:rsidR="00954D08" w:rsidTr="00C12E0C">
        <w:trPr>
          <w:trHeight w:val="223"/>
        </w:trPr>
        <w:tc>
          <w:tcPr>
            <w:cnfStyle w:val="001000000000" w:firstRow="0" w:lastRow="0" w:firstColumn="1" w:lastColumn="0" w:oddVBand="0" w:evenVBand="0" w:oddHBand="0" w:evenHBand="0" w:firstRowFirstColumn="0" w:firstRowLastColumn="0" w:lastRowFirstColumn="0" w:lastRowLastColumn="0"/>
            <w:tcW w:w="198" w:type="pct"/>
            <w:tcMar>
              <w:top w:w="11" w:type="dxa"/>
              <w:left w:w="85" w:type="dxa"/>
              <w:bottom w:w="6" w:type="dxa"/>
              <w:right w:w="85" w:type="dxa"/>
            </w:tcMar>
          </w:tcPr>
          <w:p w:rsidR="00954D08" w:rsidRDefault="009A60DE">
            <w:pPr>
              <w:jc w:val="center"/>
              <w:rPr>
                <w:b/>
                <w:bCs/>
                <w:sz w:val="15"/>
                <w:szCs w:val="15"/>
              </w:rPr>
            </w:pPr>
            <w:r>
              <w:rPr>
                <w:b/>
                <w:bCs/>
                <w:sz w:val="15"/>
                <w:szCs w:val="15"/>
              </w:rPr>
              <w:t>II.</w:t>
            </w:r>
          </w:p>
        </w:tc>
        <w:tc>
          <w:tcPr>
            <w:tcW w:w="2807" w:type="pct"/>
            <w:tcMar>
              <w:top w:w="11" w:type="dxa"/>
              <w:left w:w="85" w:type="dxa"/>
              <w:bottom w:w="6" w:type="dxa"/>
              <w:right w:w="85" w:type="dxa"/>
            </w:tcMar>
          </w:tcPr>
          <w:p w:rsidR="00954D08" w:rsidRDefault="009A60DE">
            <w:pPr>
              <w:jc w:val="left"/>
              <w:cnfStyle w:val="000000000000" w:firstRow="0" w:lastRow="0" w:firstColumn="0" w:lastColumn="0" w:oddVBand="0" w:evenVBand="0" w:oddHBand="0" w:evenHBand="0" w:firstRowFirstColumn="0" w:firstRowLastColumn="0" w:lastRowFirstColumn="0" w:lastRowLastColumn="0"/>
              <w:rPr>
                <w:b/>
                <w:bCs/>
                <w:sz w:val="15"/>
                <w:szCs w:val="15"/>
              </w:rPr>
            </w:pPr>
            <w:r>
              <w:rPr>
                <w:b/>
                <w:bCs/>
                <w:sz w:val="15"/>
                <w:szCs w:val="15"/>
              </w:rPr>
              <w:t>Wydatki ogółem, w tym:</w:t>
            </w:r>
          </w:p>
        </w:tc>
        <w:tc>
          <w:tcPr>
            <w:tcW w:w="524"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b/>
                <w:bCs/>
                <w:sz w:val="15"/>
                <w:szCs w:val="15"/>
              </w:rPr>
            </w:pPr>
            <w:r>
              <w:rPr>
                <w:b/>
                <w:bCs/>
                <w:sz w:val="15"/>
                <w:szCs w:val="15"/>
              </w:rPr>
              <w:t>68 365 129,99</w:t>
            </w:r>
          </w:p>
        </w:tc>
        <w:tc>
          <w:tcPr>
            <w:tcW w:w="524"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b/>
                <w:bCs/>
                <w:sz w:val="15"/>
                <w:szCs w:val="15"/>
              </w:rPr>
            </w:pPr>
            <w:r>
              <w:rPr>
                <w:b/>
                <w:bCs/>
                <w:sz w:val="15"/>
                <w:szCs w:val="15"/>
              </w:rPr>
              <w:t>79 084 734,45</w:t>
            </w:r>
          </w:p>
        </w:tc>
        <w:tc>
          <w:tcPr>
            <w:tcW w:w="524"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b/>
                <w:bCs/>
                <w:sz w:val="15"/>
                <w:szCs w:val="15"/>
              </w:rPr>
            </w:pPr>
            <w:r>
              <w:rPr>
                <w:b/>
                <w:bCs/>
                <w:sz w:val="15"/>
                <w:szCs w:val="15"/>
              </w:rPr>
              <w:t>72 663 453,67</w:t>
            </w:r>
          </w:p>
        </w:tc>
        <w:tc>
          <w:tcPr>
            <w:tcW w:w="424"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b/>
                <w:bCs/>
                <w:sz w:val="15"/>
                <w:szCs w:val="15"/>
              </w:rPr>
            </w:pPr>
            <w:r>
              <w:rPr>
                <w:b/>
                <w:bCs/>
                <w:sz w:val="15"/>
                <w:szCs w:val="15"/>
              </w:rPr>
              <w:t>91,88%</w:t>
            </w:r>
          </w:p>
        </w:tc>
      </w:tr>
      <w:tr w:rsidR="00954D08" w:rsidTr="00C12E0C">
        <w:trPr>
          <w:trHeight w:val="223"/>
        </w:trPr>
        <w:tc>
          <w:tcPr>
            <w:cnfStyle w:val="001000000000" w:firstRow="0" w:lastRow="0" w:firstColumn="1" w:lastColumn="0" w:oddVBand="0" w:evenVBand="0" w:oddHBand="0" w:evenHBand="0" w:firstRowFirstColumn="0" w:firstRowLastColumn="0" w:lastRowFirstColumn="0" w:lastRowLastColumn="0"/>
            <w:tcW w:w="198" w:type="pct"/>
            <w:tcMar>
              <w:top w:w="11" w:type="dxa"/>
              <w:left w:w="85" w:type="dxa"/>
              <w:bottom w:w="6" w:type="dxa"/>
              <w:right w:w="85" w:type="dxa"/>
            </w:tcMar>
          </w:tcPr>
          <w:p w:rsidR="00954D08" w:rsidRDefault="009A60DE">
            <w:pPr>
              <w:jc w:val="center"/>
              <w:rPr>
                <w:sz w:val="15"/>
                <w:szCs w:val="15"/>
              </w:rPr>
            </w:pPr>
            <w:r>
              <w:rPr>
                <w:sz w:val="15"/>
                <w:szCs w:val="15"/>
              </w:rPr>
              <w:t>1.</w:t>
            </w:r>
          </w:p>
        </w:tc>
        <w:tc>
          <w:tcPr>
            <w:tcW w:w="2807" w:type="pct"/>
            <w:tcMar>
              <w:top w:w="11" w:type="dxa"/>
              <w:left w:w="85" w:type="dxa"/>
              <w:bottom w:w="6" w:type="dxa"/>
              <w:right w:w="85" w:type="dxa"/>
            </w:tcMar>
          </w:tcPr>
          <w:p w:rsidR="00954D08" w:rsidRDefault="009A60DE">
            <w:pPr>
              <w:jc w:val="left"/>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Wydatki bieżące</w:t>
            </w:r>
          </w:p>
        </w:tc>
        <w:tc>
          <w:tcPr>
            <w:tcW w:w="524"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50 733 982,25</w:t>
            </w:r>
          </w:p>
        </w:tc>
        <w:tc>
          <w:tcPr>
            <w:tcW w:w="524"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61 725 850,18</w:t>
            </w:r>
          </w:p>
        </w:tc>
        <w:tc>
          <w:tcPr>
            <w:tcW w:w="524"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55 638 189,19</w:t>
            </w:r>
          </w:p>
        </w:tc>
        <w:tc>
          <w:tcPr>
            <w:tcW w:w="424"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90,14%</w:t>
            </w:r>
          </w:p>
        </w:tc>
      </w:tr>
      <w:tr w:rsidR="00954D08" w:rsidTr="00C12E0C">
        <w:trPr>
          <w:trHeight w:val="209"/>
        </w:trPr>
        <w:tc>
          <w:tcPr>
            <w:cnfStyle w:val="001000000000" w:firstRow="0" w:lastRow="0" w:firstColumn="1" w:lastColumn="0" w:oddVBand="0" w:evenVBand="0" w:oddHBand="0" w:evenHBand="0" w:firstRowFirstColumn="0" w:firstRowLastColumn="0" w:lastRowFirstColumn="0" w:lastRowLastColumn="0"/>
            <w:tcW w:w="198" w:type="pct"/>
            <w:tcMar>
              <w:top w:w="11" w:type="dxa"/>
              <w:left w:w="85" w:type="dxa"/>
              <w:bottom w:w="6" w:type="dxa"/>
              <w:right w:w="85" w:type="dxa"/>
            </w:tcMar>
          </w:tcPr>
          <w:p w:rsidR="00954D08" w:rsidRDefault="009A60DE">
            <w:pPr>
              <w:jc w:val="center"/>
              <w:rPr>
                <w:sz w:val="15"/>
                <w:szCs w:val="15"/>
              </w:rPr>
            </w:pPr>
            <w:r>
              <w:rPr>
                <w:sz w:val="15"/>
                <w:szCs w:val="15"/>
              </w:rPr>
              <w:t>2.</w:t>
            </w:r>
          </w:p>
        </w:tc>
        <w:tc>
          <w:tcPr>
            <w:tcW w:w="2807" w:type="pct"/>
            <w:tcMar>
              <w:top w:w="11" w:type="dxa"/>
              <w:left w:w="85" w:type="dxa"/>
              <w:bottom w:w="6" w:type="dxa"/>
              <w:right w:w="85" w:type="dxa"/>
            </w:tcMar>
          </w:tcPr>
          <w:p w:rsidR="00954D08" w:rsidRDefault="009A60DE">
            <w:pPr>
              <w:jc w:val="left"/>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Wydatki majątkowe, w tym:</w:t>
            </w:r>
          </w:p>
        </w:tc>
        <w:tc>
          <w:tcPr>
            <w:tcW w:w="524"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17 631 147,74</w:t>
            </w:r>
          </w:p>
        </w:tc>
        <w:tc>
          <w:tcPr>
            <w:tcW w:w="524"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17 358 884,27</w:t>
            </w:r>
          </w:p>
        </w:tc>
        <w:tc>
          <w:tcPr>
            <w:tcW w:w="524"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17 025 264,48</w:t>
            </w:r>
          </w:p>
        </w:tc>
        <w:tc>
          <w:tcPr>
            <w:tcW w:w="424"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98,08%</w:t>
            </w:r>
          </w:p>
        </w:tc>
      </w:tr>
      <w:tr w:rsidR="00954D08" w:rsidTr="00C12E0C">
        <w:trPr>
          <w:trHeight w:val="223"/>
        </w:trPr>
        <w:tc>
          <w:tcPr>
            <w:cnfStyle w:val="001000000000" w:firstRow="0" w:lastRow="0" w:firstColumn="1" w:lastColumn="0" w:oddVBand="0" w:evenVBand="0" w:oddHBand="0" w:evenHBand="0" w:firstRowFirstColumn="0" w:firstRowLastColumn="0" w:lastRowFirstColumn="0" w:lastRowLastColumn="0"/>
            <w:tcW w:w="198" w:type="pct"/>
            <w:tcMar>
              <w:top w:w="11" w:type="dxa"/>
              <w:left w:w="85" w:type="dxa"/>
              <w:bottom w:w="6" w:type="dxa"/>
              <w:right w:w="85" w:type="dxa"/>
            </w:tcMar>
          </w:tcPr>
          <w:p w:rsidR="00954D08" w:rsidRDefault="00954D08">
            <w:pPr>
              <w:rPr>
                <w:i/>
                <w:iCs/>
                <w:sz w:val="15"/>
                <w:szCs w:val="15"/>
              </w:rPr>
            </w:pPr>
          </w:p>
        </w:tc>
        <w:tc>
          <w:tcPr>
            <w:tcW w:w="2807"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wydatki na inwestycje</w:t>
            </w:r>
          </w:p>
        </w:tc>
        <w:tc>
          <w:tcPr>
            <w:tcW w:w="524"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17 580 147,74</w:t>
            </w:r>
          </w:p>
        </w:tc>
        <w:tc>
          <w:tcPr>
            <w:tcW w:w="524"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17 260 884,27</w:t>
            </w:r>
          </w:p>
        </w:tc>
        <w:tc>
          <w:tcPr>
            <w:tcW w:w="524"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16 927 264,48</w:t>
            </w:r>
          </w:p>
        </w:tc>
        <w:tc>
          <w:tcPr>
            <w:tcW w:w="424"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i/>
                <w:iCs/>
                <w:sz w:val="15"/>
                <w:szCs w:val="15"/>
              </w:rPr>
            </w:pPr>
            <w:r>
              <w:rPr>
                <w:i/>
                <w:iCs/>
                <w:sz w:val="15"/>
                <w:szCs w:val="15"/>
              </w:rPr>
              <w:t>98,07%</w:t>
            </w:r>
          </w:p>
        </w:tc>
      </w:tr>
      <w:tr w:rsidR="00954D08" w:rsidTr="00C12E0C">
        <w:trPr>
          <w:trHeight w:val="223"/>
        </w:trPr>
        <w:tc>
          <w:tcPr>
            <w:cnfStyle w:val="001000000000" w:firstRow="0" w:lastRow="0" w:firstColumn="1" w:lastColumn="0" w:oddVBand="0" w:evenVBand="0" w:oddHBand="0" w:evenHBand="0" w:firstRowFirstColumn="0" w:firstRowLastColumn="0" w:lastRowFirstColumn="0" w:lastRowLastColumn="0"/>
            <w:tcW w:w="198" w:type="pct"/>
            <w:tcMar>
              <w:top w:w="11" w:type="dxa"/>
              <w:left w:w="85" w:type="dxa"/>
              <w:bottom w:w="6" w:type="dxa"/>
              <w:right w:w="85" w:type="dxa"/>
            </w:tcMar>
          </w:tcPr>
          <w:p w:rsidR="00954D08" w:rsidRDefault="009A60DE">
            <w:pPr>
              <w:jc w:val="center"/>
              <w:rPr>
                <w:b/>
                <w:bCs/>
                <w:sz w:val="15"/>
                <w:szCs w:val="15"/>
              </w:rPr>
            </w:pPr>
            <w:r>
              <w:rPr>
                <w:b/>
                <w:bCs/>
                <w:sz w:val="15"/>
                <w:szCs w:val="15"/>
              </w:rPr>
              <w:t>III.</w:t>
            </w:r>
          </w:p>
        </w:tc>
        <w:tc>
          <w:tcPr>
            <w:tcW w:w="2807" w:type="pct"/>
            <w:tcMar>
              <w:top w:w="11" w:type="dxa"/>
              <w:left w:w="85" w:type="dxa"/>
              <w:bottom w:w="6" w:type="dxa"/>
              <w:right w:w="85" w:type="dxa"/>
            </w:tcMar>
          </w:tcPr>
          <w:p w:rsidR="00954D08" w:rsidRDefault="009A60DE">
            <w:pPr>
              <w:jc w:val="left"/>
              <w:cnfStyle w:val="000000000000" w:firstRow="0" w:lastRow="0" w:firstColumn="0" w:lastColumn="0" w:oddVBand="0" w:evenVBand="0" w:oddHBand="0" w:evenHBand="0" w:firstRowFirstColumn="0" w:firstRowLastColumn="0" w:lastRowFirstColumn="0" w:lastRowLastColumn="0"/>
              <w:rPr>
                <w:b/>
                <w:bCs/>
                <w:sz w:val="15"/>
                <w:szCs w:val="15"/>
              </w:rPr>
            </w:pPr>
            <w:r>
              <w:rPr>
                <w:b/>
                <w:bCs/>
                <w:sz w:val="15"/>
                <w:szCs w:val="15"/>
              </w:rPr>
              <w:t>Wynik +/- (I-II)</w:t>
            </w:r>
          </w:p>
        </w:tc>
        <w:tc>
          <w:tcPr>
            <w:tcW w:w="524"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b/>
                <w:bCs/>
                <w:sz w:val="15"/>
                <w:szCs w:val="15"/>
              </w:rPr>
            </w:pPr>
            <w:r>
              <w:rPr>
                <w:b/>
                <w:bCs/>
                <w:sz w:val="15"/>
                <w:szCs w:val="15"/>
              </w:rPr>
              <w:t>-8 189 165,23</w:t>
            </w:r>
          </w:p>
        </w:tc>
        <w:tc>
          <w:tcPr>
            <w:tcW w:w="524"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b/>
                <w:bCs/>
                <w:sz w:val="15"/>
                <w:szCs w:val="15"/>
              </w:rPr>
            </w:pPr>
            <w:r>
              <w:rPr>
                <w:b/>
                <w:bCs/>
                <w:sz w:val="15"/>
                <w:szCs w:val="15"/>
              </w:rPr>
              <w:t>-6 592 805,00</w:t>
            </w:r>
          </w:p>
        </w:tc>
        <w:tc>
          <w:tcPr>
            <w:tcW w:w="524"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b/>
                <w:bCs/>
                <w:sz w:val="15"/>
                <w:szCs w:val="15"/>
              </w:rPr>
            </w:pPr>
            <w:r>
              <w:rPr>
                <w:b/>
                <w:bCs/>
                <w:sz w:val="15"/>
                <w:szCs w:val="15"/>
              </w:rPr>
              <w:t>519 184,94</w:t>
            </w:r>
          </w:p>
        </w:tc>
        <w:tc>
          <w:tcPr>
            <w:tcW w:w="424"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b/>
                <w:bCs/>
                <w:sz w:val="15"/>
                <w:szCs w:val="15"/>
              </w:rPr>
            </w:pPr>
            <w:r>
              <w:rPr>
                <w:b/>
                <w:bCs/>
                <w:sz w:val="15"/>
                <w:szCs w:val="15"/>
              </w:rPr>
              <w:t>-</w:t>
            </w:r>
          </w:p>
        </w:tc>
      </w:tr>
      <w:tr w:rsidR="00954D08" w:rsidTr="00C12E0C">
        <w:trPr>
          <w:trHeight w:val="223"/>
        </w:trPr>
        <w:tc>
          <w:tcPr>
            <w:cnfStyle w:val="001000000000" w:firstRow="0" w:lastRow="0" w:firstColumn="1" w:lastColumn="0" w:oddVBand="0" w:evenVBand="0" w:oddHBand="0" w:evenHBand="0" w:firstRowFirstColumn="0" w:firstRowLastColumn="0" w:lastRowFirstColumn="0" w:lastRowLastColumn="0"/>
            <w:tcW w:w="198" w:type="pct"/>
            <w:tcMar>
              <w:top w:w="11" w:type="dxa"/>
              <w:left w:w="85" w:type="dxa"/>
              <w:bottom w:w="6" w:type="dxa"/>
              <w:right w:w="85" w:type="dxa"/>
            </w:tcMar>
          </w:tcPr>
          <w:p w:rsidR="00954D08" w:rsidRDefault="009A60DE">
            <w:pPr>
              <w:jc w:val="center"/>
              <w:rPr>
                <w:b/>
                <w:bCs/>
                <w:sz w:val="15"/>
                <w:szCs w:val="15"/>
              </w:rPr>
            </w:pPr>
            <w:r>
              <w:rPr>
                <w:b/>
                <w:bCs/>
                <w:sz w:val="15"/>
                <w:szCs w:val="15"/>
              </w:rPr>
              <w:t>IV.</w:t>
            </w:r>
          </w:p>
        </w:tc>
        <w:tc>
          <w:tcPr>
            <w:tcW w:w="2807" w:type="pct"/>
            <w:tcMar>
              <w:top w:w="11" w:type="dxa"/>
              <w:left w:w="85" w:type="dxa"/>
              <w:bottom w:w="6" w:type="dxa"/>
              <w:right w:w="85" w:type="dxa"/>
            </w:tcMar>
          </w:tcPr>
          <w:p w:rsidR="00954D08" w:rsidRDefault="009A60DE">
            <w:pPr>
              <w:jc w:val="left"/>
              <w:cnfStyle w:val="000000000000" w:firstRow="0" w:lastRow="0" w:firstColumn="0" w:lastColumn="0" w:oddVBand="0" w:evenVBand="0" w:oddHBand="0" w:evenHBand="0" w:firstRowFirstColumn="0" w:firstRowLastColumn="0" w:lastRowFirstColumn="0" w:lastRowLastColumn="0"/>
              <w:rPr>
                <w:b/>
                <w:bCs/>
                <w:sz w:val="15"/>
                <w:szCs w:val="15"/>
              </w:rPr>
            </w:pPr>
            <w:r>
              <w:rPr>
                <w:b/>
                <w:bCs/>
                <w:sz w:val="15"/>
                <w:szCs w:val="15"/>
              </w:rPr>
              <w:t>Różnica między dochodami bieżącymi a wydatkami bieżącymi</w:t>
            </w:r>
          </w:p>
        </w:tc>
        <w:tc>
          <w:tcPr>
            <w:tcW w:w="524"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b/>
                <w:bCs/>
                <w:sz w:val="15"/>
                <w:szCs w:val="15"/>
              </w:rPr>
            </w:pPr>
            <w:r>
              <w:rPr>
                <w:b/>
                <w:bCs/>
                <w:sz w:val="15"/>
                <w:szCs w:val="15"/>
              </w:rPr>
              <w:t>760 229,69</w:t>
            </w:r>
          </w:p>
        </w:tc>
        <w:tc>
          <w:tcPr>
            <w:tcW w:w="524"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b/>
                <w:bCs/>
                <w:sz w:val="15"/>
                <w:szCs w:val="15"/>
              </w:rPr>
            </w:pPr>
            <w:r>
              <w:rPr>
                <w:b/>
                <w:bCs/>
                <w:sz w:val="15"/>
                <w:szCs w:val="15"/>
              </w:rPr>
              <w:t>2 089 411,75</w:t>
            </w:r>
          </w:p>
        </w:tc>
        <w:tc>
          <w:tcPr>
            <w:tcW w:w="524"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b/>
                <w:bCs/>
                <w:sz w:val="15"/>
                <w:szCs w:val="15"/>
              </w:rPr>
            </w:pPr>
            <w:r>
              <w:rPr>
                <w:b/>
                <w:bCs/>
                <w:sz w:val="15"/>
                <w:szCs w:val="15"/>
              </w:rPr>
              <w:t>8 855 281,90</w:t>
            </w:r>
          </w:p>
        </w:tc>
        <w:tc>
          <w:tcPr>
            <w:tcW w:w="424"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b/>
                <w:bCs/>
                <w:sz w:val="15"/>
                <w:szCs w:val="15"/>
              </w:rPr>
            </w:pPr>
            <w:r>
              <w:rPr>
                <w:b/>
                <w:bCs/>
                <w:sz w:val="15"/>
                <w:szCs w:val="15"/>
              </w:rPr>
              <w:t>-</w:t>
            </w:r>
          </w:p>
        </w:tc>
      </w:tr>
    </w:tbl>
    <w:p w:rsidR="00954D08" w:rsidRDefault="00954D08">
      <w:pPr>
        <w:jc w:val="both"/>
      </w:pPr>
    </w:p>
    <w:p w:rsidR="00954D08" w:rsidRDefault="009A60DE">
      <w:pPr>
        <w:jc w:val="both"/>
      </w:pPr>
      <w:r>
        <w:t>Na koniec  wystąpiła nadwyżka budżetowa w kwocie 519 184,94 zł. Różnica między dochodami bieżącymi a wydatkami bieżącymi (wynik budżetu bieżącego) wynosi 8 855 281,90 zł.</w:t>
      </w:r>
    </w:p>
    <w:p w:rsidR="00954D08" w:rsidRDefault="009A60DE">
      <w:pPr>
        <w:pStyle w:val="SmallSubtitle"/>
      </w:pPr>
      <w:r>
        <w:t>Dochody</w:t>
      </w:r>
    </w:p>
    <w:p w:rsidR="00954D08" w:rsidRDefault="009A60DE">
      <w:pPr>
        <w:jc w:val="both"/>
      </w:pPr>
      <w:r>
        <w:t xml:space="preserve">Dochody budżetu Gminy w 2024 roku wyniosły 73 182 638,61 zł, a ich realizacja stanowiła 100,95% planu wynoszącego 72 491 929,45 zł. W strukturze dochodów znaczący udział odgrywają dochody bieżące, które w 2024 roku zostały wykonane na poziomie 64 493 471,09 zł, tj. w 101,06% w stosunku do planu wynoszącego 63 815 261,93 zł. Dochody majątkowe </w:t>
      </w:r>
      <w:r>
        <w:lastRenderedPageBreak/>
        <w:t>Gminy Godziesze Wielkie w 2024 roku zostały wykonane na poziomie 8 689 167,52 zł, tj. w 100,14% w stosunku do planu wynoszącego 8 676 667,52 zł.</w:t>
      </w:r>
    </w:p>
    <w:p w:rsidR="00954D08" w:rsidRDefault="009A60DE">
      <w:pPr>
        <w:pStyle w:val="SmallSubtitle"/>
      </w:pPr>
      <w:r>
        <w:t>Dotacje i dochody celowe bieżące</w:t>
      </w:r>
    </w:p>
    <w:p w:rsidR="00954D08" w:rsidRDefault="009A60DE">
      <w:pPr>
        <w:jc w:val="both"/>
      </w:pPr>
      <w:r>
        <w:t>Biorąc pod uwagę podział dochodów bieżących wg źródeł ich pochodzenia znaczący udział w 2024 roku stanowiły dochody o charakterze celowym, które JST otrzymuje od podmiotów zewnętrznych. W 2024 roku środki te zostały zaplanowane w kwocie 11 551 830,97 zł, z kolei zrealizowane na poziomie 11 368 665,38 zł, co stanowi 98,41% realizacji planu, przy czym:</w:t>
      </w:r>
    </w:p>
    <w:p w:rsidR="00954D08" w:rsidRDefault="009A60DE">
      <w:pPr>
        <w:pStyle w:val="Akapitzlist"/>
        <w:numPr>
          <w:ilvl w:val="0"/>
          <w:numId w:val="25"/>
        </w:numPr>
        <w:jc w:val="both"/>
      </w:pPr>
      <w:r>
        <w:t>dotacje celowe otrzymane z budżetu państwa na realizację zadań z zakresu administracji rządowej wyniosły 8 801 787,42 zł;</w:t>
      </w:r>
    </w:p>
    <w:p w:rsidR="00954D08" w:rsidRDefault="009A60DE">
      <w:pPr>
        <w:pStyle w:val="Akapitzlist"/>
        <w:numPr>
          <w:ilvl w:val="0"/>
          <w:numId w:val="25"/>
        </w:numPr>
        <w:jc w:val="both"/>
      </w:pPr>
      <w:r>
        <w:t>dotacje na realizację zadań realizowanych na mocy porozumień z organami administracji rządowej 40 000,00 zł;</w:t>
      </w:r>
    </w:p>
    <w:p w:rsidR="00954D08" w:rsidRDefault="009A60DE">
      <w:pPr>
        <w:pStyle w:val="Akapitzlist"/>
        <w:numPr>
          <w:ilvl w:val="0"/>
          <w:numId w:val="25"/>
        </w:numPr>
        <w:jc w:val="both"/>
      </w:pPr>
      <w:r>
        <w:t>dotacje celowe otrzymane z budżetu państwa na zadania własne 1 944 798,59 zł;</w:t>
      </w:r>
    </w:p>
    <w:p w:rsidR="00954D08" w:rsidRDefault="009A60DE">
      <w:pPr>
        <w:pStyle w:val="Akapitzlist"/>
        <w:numPr>
          <w:ilvl w:val="0"/>
          <w:numId w:val="25"/>
        </w:numPr>
        <w:jc w:val="both"/>
      </w:pPr>
      <w:r>
        <w:t>dochody z dotacji na zadania realizowane na podstawie porozumień między jednostkami samorządu terytorialnego 16 200,00 zł;</w:t>
      </w:r>
    </w:p>
    <w:p w:rsidR="00954D08" w:rsidRDefault="009A60DE">
      <w:pPr>
        <w:pStyle w:val="Akapitzlist"/>
        <w:numPr>
          <w:ilvl w:val="0"/>
          <w:numId w:val="25"/>
        </w:numPr>
        <w:jc w:val="both"/>
      </w:pPr>
      <w:r>
        <w:t>dochody z dotacji w ramach programów finansowanych z udziałem środków europejskich 46 426,30 zł (w tym na realizację programu, projektu lub zadania finansowanego z udziałem środków, o których mowa w art. 5 ust. 1 pkt 2 ustawy 46 426,30 zł);</w:t>
      </w:r>
    </w:p>
    <w:p w:rsidR="00954D08" w:rsidRDefault="009A60DE">
      <w:pPr>
        <w:pStyle w:val="Akapitzlist"/>
        <w:numPr>
          <w:ilvl w:val="0"/>
          <w:numId w:val="25"/>
        </w:numPr>
        <w:jc w:val="both"/>
      </w:pPr>
      <w:r>
        <w:t>pozostałe dochody o charakterze celowym 519 453,07 zł.</w:t>
      </w:r>
    </w:p>
    <w:p w:rsidR="00954D08" w:rsidRDefault="009A60DE">
      <w:pPr>
        <w:pStyle w:val="SmallSubtitle"/>
      </w:pPr>
      <w:r>
        <w:t>Subwencja ogólna</w:t>
      </w:r>
    </w:p>
    <w:p w:rsidR="00954D08" w:rsidRDefault="009A60DE">
      <w:pPr>
        <w:jc w:val="both"/>
      </w:pPr>
      <w:r>
        <w:t>Dochody z subwencji w 2024 roku zostały zaplanowane na poziomie 26 981 609,00 zł, natomiast zrealizowane w kwocie 26 981 609,00 zł, co stanowi 100,00% realizacji planu, przy czym:</w:t>
      </w:r>
    </w:p>
    <w:p w:rsidR="00954D08" w:rsidRDefault="009A60DE">
      <w:pPr>
        <w:pStyle w:val="Akapitzlist"/>
        <w:numPr>
          <w:ilvl w:val="0"/>
          <w:numId w:val="26"/>
        </w:numPr>
        <w:jc w:val="both"/>
      </w:pPr>
      <w:r>
        <w:t>dochody z subwencji oświatowej wyniosły 16 154 485,00 zł;</w:t>
      </w:r>
    </w:p>
    <w:p w:rsidR="00954D08" w:rsidRDefault="009A60DE">
      <w:pPr>
        <w:pStyle w:val="Akapitzlist"/>
        <w:numPr>
          <w:ilvl w:val="0"/>
          <w:numId w:val="26"/>
        </w:numPr>
        <w:jc w:val="both"/>
      </w:pPr>
      <w:r>
        <w:t>dochody z subwencji wyrównawczej wyniosły 9 052 129,00 zł;</w:t>
      </w:r>
    </w:p>
    <w:p w:rsidR="00954D08" w:rsidRDefault="009A60DE">
      <w:pPr>
        <w:pStyle w:val="Akapitzlist"/>
        <w:numPr>
          <w:ilvl w:val="0"/>
          <w:numId w:val="26"/>
        </w:numPr>
        <w:jc w:val="both"/>
      </w:pPr>
      <w:r>
        <w:t>dochody stanowiące uzupełnienie subwencji ogólnej wyniosły 941 429,00 zł;</w:t>
      </w:r>
    </w:p>
    <w:p w:rsidR="00954D08" w:rsidRDefault="009A60DE">
      <w:pPr>
        <w:pStyle w:val="Akapitzlist"/>
        <w:numPr>
          <w:ilvl w:val="0"/>
          <w:numId w:val="26"/>
        </w:numPr>
        <w:jc w:val="both"/>
      </w:pPr>
      <w:r>
        <w:t>dochody z subwencji rozwojowej wyniosły 558 120,00 zł;</w:t>
      </w:r>
    </w:p>
    <w:p w:rsidR="00954D08" w:rsidRDefault="009A60DE">
      <w:pPr>
        <w:pStyle w:val="Akapitzlist"/>
        <w:numPr>
          <w:ilvl w:val="0"/>
          <w:numId w:val="26"/>
        </w:numPr>
        <w:jc w:val="both"/>
      </w:pPr>
      <w:r>
        <w:t>dochody z subwencji równoważącej wyniosły 275 446,00 zł.</w:t>
      </w:r>
    </w:p>
    <w:p w:rsidR="00954D08" w:rsidRDefault="009A60DE">
      <w:pPr>
        <w:pStyle w:val="SmallSubtitle"/>
      </w:pPr>
      <w:r>
        <w:t>Udział w podatkach stanowiących dochód budżetu państwa</w:t>
      </w:r>
    </w:p>
    <w:p w:rsidR="00954D08" w:rsidRDefault="009A60DE">
      <w:pPr>
        <w:jc w:val="both"/>
      </w:pPr>
      <w:r>
        <w:t>Udziały w podatkach stanowiących dochód budżetu państwa zaplanowane zostały w kwocie 10 540 269,00 zł, zaś zrealizowane w kwocie 10 540 269,00 zł, co stanowi 100,00% realizacji planu, przy czym:</w:t>
      </w:r>
    </w:p>
    <w:p w:rsidR="00954D08" w:rsidRDefault="009A60DE">
      <w:pPr>
        <w:pStyle w:val="Akapitzlist"/>
        <w:numPr>
          <w:ilvl w:val="0"/>
          <w:numId w:val="27"/>
        </w:numPr>
        <w:jc w:val="both"/>
      </w:pPr>
      <w:r>
        <w:t>dochody z tytułu wpływów z podatku od osób prawnych wyniosły 155 394,00 zł;</w:t>
      </w:r>
    </w:p>
    <w:p w:rsidR="00954D08" w:rsidRDefault="009A60DE">
      <w:pPr>
        <w:pStyle w:val="Akapitzlist"/>
        <w:numPr>
          <w:ilvl w:val="0"/>
          <w:numId w:val="27"/>
        </w:numPr>
        <w:jc w:val="both"/>
      </w:pPr>
      <w:r>
        <w:t>dochody z tytułu wpływów z podatku od osób fizycznych wyniosły 10 384 875,00 zł.</w:t>
      </w:r>
    </w:p>
    <w:p w:rsidR="00954D08" w:rsidRDefault="009A60DE">
      <w:pPr>
        <w:pStyle w:val="SmallSubtitle"/>
      </w:pPr>
      <w:r>
        <w:t>Wpływy z podatków i opłat lokalnych</w:t>
      </w:r>
    </w:p>
    <w:p w:rsidR="00954D08" w:rsidRDefault="009A60DE">
      <w:pPr>
        <w:pStyle w:val="Nagwek5"/>
        <w:jc w:val="both"/>
      </w:pPr>
      <w:r>
        <w:t>Podatek od nieruchomości</w:t>
      </w:r>
    </w:p>
    <w:p w:rsidR="00954D08" w:rsidRDefault="009A60DE">
      <w:pPr>
        <w:jc w:val="both"/>
      </w:pPr>
      <w:r>
        <w:t xml:space="preserve">Wpływy z podatku od nieruchomości w 2024 roku zostały zrealizowane w kwocie 4 512 079,80 zł, co stanowi 102,96% realizacji planu wynoszącego 4 382 262,00 zł, w tym 2 349 612,63 zł od osób prawnych i 2 162 467,17 zł od osób fizycznych. </w:t>
      </w:r>
    </w:p>
    <w:p w:rsidR="00954D08" w:rsidRDefault="009A60DE">
      <w:pPr>
        <w:pStyle w:val="Nagwek5"/>
        <w:jc w:val="both"/>
      </w:pPr>
      <w:r>
        <w:t>Podatek rolny</w:t>
      </w:r>
    </w:p>
    <w:p w:rsidR="00954D08" w:rsidRDefault="009A60DE">
      <w:pPr>
        <w:jc w:val="both"/>
      </w:pPr>
      <w:r>
        <w:t xml:space="preserve">Wpływy z podatku rolnego w 2024 roku zostały zrealizowane w kwocie 358 969,27 zł, co stanowi 107,93% realizacji planu wynoszącego 332 596,00 zł, w tym 245,00 zł od osób prawnych i 358 724,27 zł od osób fizycznych. </w:t>
      </w:r>
    </w:p>
    <w:p w:rsidR="00954D08" w:rsidRDefault="009A60DE">
      <w:pPr>
        <w:pStyle w:val="Nagwek5"/>
        <w:jc w:val="both"/>
      </w:pPr>
      <w:r>
        <w:t>Podatek leśny</w:t>
      </w:r>
    </w:p>
    <w:p w:rsidR="00954D08" w:rsidRDefault="009A60DE">
      <w:pPr>
        <w:jc w:val="both"/>
      </w:pPr>
      <w:r>
        <w:t xml:space="preserve">Wpływy z podatku leśnego w 2024 roku zostały zrealizowane w kwocie 96 017,64 zł, co stanowi 91,20% realizacji planu wynoszącego 105 284,00 zł, w tym 37 994,00 zł od osób prawnych i 58 023,64 zł od osób fizycznych. </w:t>
      </w:r>
    </w:p>
    <w:p w:rsidR="00954D08" w:rsidRDefault="009A60DE">
      <w:pPr>
        <w:pStyle w:val="Nagwek5"/>
        <w:jc w:val="both"/>
      </w:pPr>
      <w:r>
        <w:lastRenderedPageBreak/>
        <w:t>Podatek od środków transportowych</w:t>
      </w:r>
    </w:p>
    <w:p w:rsidR="00954D08" w:rsidRDefault="009A60DE">
      <w:pPr>
        <w:jc w:val="both"/>
      </w:pPr>
      <w:r>
        <w:t xml:space="preserve">Wpływy z podatku od środków transportowych w 2024 roku zostały zrealizowane w kwocie 836 070,86 zł, co stanowi 102,27% realizacji planu wynoszącego 817 496,10 zł, w tym 53 807,10 zł od osób prawnych i 782 263,76 zł od osób fizycznych. </w:t>
      </w:r>
    </w:p>
    <w:p w:rsidR="00954D08" w:rsidRDefault="009A60DE">
      <w:pPr>
        <w:pStyle w:val="Nagwek5"/>
        <w:jc w:val="both"/>
      </w:pPr>
      <w:r>
        <w:t>Podatek od działalności gospodarczej osób fizycznych, opłacany w formie karty podatkowej</w:t>
      </w:r>
    </w:p>
    <w:p w:rsidR="00954D08" w:rsidRDefault="009A60DE">
      <w:pPr>
        <w:jc w:val="both"/>
      </w:pPr>
      <w:r>
        <w:t xml:space="preserve">Wpływy z podatku od działalności gospodarczej osób fizycznych, opłacanego w formie karty podatkowej w 2024 roku zostały zrealizowane w kwocie 17 192,39 zł, co stanowi 122,88% realizacji planu wynoszącego 13 991,09 zł. </w:t>
      </w:r>
    </w:p>
    <w:p w:rsidR="00954D08" w:rsidRDefault="009A60DE">
      <w:pPr>
        <w:pStyle w:val="Nagwek5"/>
        <w:jc w:val="both"/>
      </w:pPr>
      <w:r>
        <w:t>Podatek od spadków i darowizn</w:t>
      </w:r>
    </w:p>
    <w:p w:rsidR="00954D08" w:rsidRDefault="009A60DE">
      <w:pPr>
        <w:jc w:val="both"/>
      </w:pPr>
      <w:r>
        <w:t xml:space="preserve">Wpływy z podatku od spadków i darowizn w 2024 roku zostały zrealizowane w kwocie 72 887,00 zł, co stanowi 69,33% realizacji planu wynoszącego 105 125,23 zł. </w:t>
      </w:r>
    </w:p>
    <w:p w:rsidR="00954D08" w:rsidRDefault="009A60DE">
      <w:pPr>
        <w:pStyle w:val="Nagwek5"/>
        <w:jc w:val="both"/>
      </w:pPr>
      <w:r>
        <w:t>Podatek od czynności cywilnoprawnych</w:t>
      </w:r>
    </w:p>
    <w:p w:rsidR="00954D08" w:rsidRDefault="009A60DE">
      <w:pPr>
        <w:jc w:val="both"/>
      </w:pPr>
      <w:r>
        <w:t xml:space="preserve">Wpływy z podatku od czynności cywilnoprawnych w 2024 roku zostały zrealizowane w kwocie 672 566,02 zł, co stanowi 112,76% realizacji planu wynoszącego 596 447,48 zł, w tym 2 182,00 zł od osób prawnych i 670 384,02 zł od osób fizycznych. </w:t>
      </w:r>
    </w:p>
    <w:p w:rsidR="00954D08" w:rsidRDefault="009A60DE">
      <w:pPr>
        <w:pStyle w:val="Nagwek5"/>
        <w:jc w:val="both"/>
      </w:pPr>
      <w:r>
        <w:t>Wpływy z opłaty skarbowej</w:t>
      </w:r>
    </w:p>
    <w:p w:rsidR="00954D08" w:rsidRDefault="009A60DE">
      <w:pPr>
        <w:jc w:val="both"/>
      </w:pPr>
      <w:r>
        <w:t>Wpływy z opłaty skarbowej w 2024 roku zostały zrealizowane w kwocie 37 651,50 zł, co stanowi 119,87% realizacji planu wynoszącego 31 411,00 zł.</w:t>
      </w:r>
    </w:p>
    <w:p w:rsidR="00954D08" w:rsidRDefault="009A60DE">
      <w:pPr>
        <w:pStyle w:val="Nagwek5"/>
        <w:jc w:val="both"/>
      </w:pPr>
      <w:r>
        <w:t>Wpływy z opłaty eksploatacyjnej</w:t>
      </w:r>
    </w:p>
    <w:p w:rsidR="00954D08" w:rsidRDefault="009A60DE">
      <w:pPr>
        <w:jc w:val="both"/>
      </w:pPr>
      <w:r>
        <w:t>Wpływy z opłaty eksploatacyjnej w 2024 roku zostały zrealizowane w kwocie 13 395,00 zł, co stanowi 100,00% realizacji planu wynoszącego 13 395,00 zł.</w:t>
      </w:r>
    </w:p>
    <w:p w:rsidR="00954D08" w:rsidRDefault="009A60DE">
      <w:pPr>
        <w:pStyle w:val="Nagwek5"/>
        <w:jc w:val="both"/>
      </w:pPr>
      <w:r>
        <w:t>Wpływy z opłat lokalnych</w:t>
      </w:r>
    </w:p>
    <w:p w:rsidR="00954D08" w:rsidRDefault="009A60DE">
      <w:pPr>
        <w:jc w:val="both"/>
      </w:pPr>
      <w:r>
        <w:t>Wpływy z opłat w 2024 roku zostały zaplanowane na poziomie 4 231 189,37 zł, natomiast zrealizowane w kwocie 4 187 618,44 zł, co stanowi 98,97% realizacji planu. Najwyższe wpływy z opłat zrealizowane zostały z:</w:t>
      </w:r>
    </w:p>
    <w:p w:rsidR="00954D08" w:rsidRDefault="009A60DE">
      <w:pPr>
        <w:pStyle w:val="Akapitzlist"/>
        <w:numPr>
          <w:ilvl w:val="0"/>
          <w:numId w:val="28"/>
        </w:numPr>
        <w:jc w:val="both"/>
      </w:pPr>
      <w:r>
        <w:t>§049 (wpływy z innych lokalnych opłat pobieranych przez jednostki samorządu terytorialnego na podstawie odrębnych ustaw) – 3 083 749,74 zł;</w:t>
      </w:r>
    </w:p>
    <w:p w:rsidR="00954D08" w:rsidRDefault="009A60DE">
      <w:pPr>
        <w:pStyle w:val="Akapitzlist"/>
        <w:numPr>
          <w:ilvl w:val="0"/>
          <w:numId w:val="28"/>
        </w:numPr>
        <w:jc w:val="both"/>
      </w:pPr>
      <w:r>
        <w:t>§067 (wpływy z opłat za korzystanie z wyżywienia w jednostkach realizujących zadania z zakresu wychowania przedszkolnego) – 622 159,80 zł;</w:t>
      </w:r>
    </w:p>
    <w:p w:rsidR="00954D08" w:rsidRDefault="009A60DE">
      <w:pPr>
        <w:pStyle w:val="Akapitzlist"/>
        <w:numPr>
          <w:ilvl w:val="0"/>
          <w:numId w:val="28"/>
        </w:numPr>
        <w:jc w:val="both"/>
      </w:pPr>
      <w:r>
        <w:t>§048 (wpływy z opłat za zezwolenia na sprzedaż napojów alkoholowych) – 208 031,19 zł;</w:t>
      </w:r>
    </w:p>
    <w:p w:rsidR="00954D08" w:rsidRDefault="009A60DE">
      <w:pPr>
        <w:pStyle w:val="Akapitzlist"/>
        <w:numPr>
          <w:ilvl w:val="0"/>
          <w:numId w:val="28"/>
        </w:numPr>
        <w:jc w:val="both"/>
      </w:pPr>
      <w:r>
        <w:t>§066 (wpływy z opłat za korzystanie z wychowania przedszkolnego) – 84 271,88 zł;</w:t>
      </w:r>
    </w:p>
    <w:p w:rsidR="00954D08" w:rsidRDefault="009A60DE">
      <w:pPr>
        <w:pStyle w:val="Akapitzlist"/>
        <w:numPr>
          <w:ilvl w:val="0"/>
          <w:numId w:val="28"/>
        </w:numPr>
        <w:jc w:val="both"/>
      </w:pPr>
      <w:r>
        <w:t>§027 (wpływy z części opłaty za zezwolenie na sprzedaż napojów alkoholowych w obrocie hurtowym) – 55 343,10 zł.</w:t>
      </w:r>
    </w:p>
    <w:p w:rsidR="00954D08" w:rsidRDefault="009A60DE">
      <w:pPr>
        <w:pStyle w:val="SmallSubtitle"/>
      </w:pPr>
      <w:r>
        <w:t>Pozostałe dochody bieżące</w:t>
      </w:r>
    </w:p>
    <w:p w:rsidR="00954D08" w:rsidRDefault="009A60DE">
      <w:pPr>
        <w:jc w:val="both"/>
      </w:pPr>
      <w:r>
        <w:t>Pozostałe dochody bieżące to dochody niesklasyfikowane w ramach wcześniejszych grup. W okresie sprawozdawczym przewidywano wykonanie na poziomie 4 112 355,69 zł. Plan został wykonany w kwocie 4 798 479,79 zł, co stanowi 116,68% założeń.</w:t>
      </w:r>
    </w:p>
    <w:p w:rsidR="00954D08" w:rsidRDefault="009A60DE">
      <w:pPr>
        <w:pStyle w:val="SmallSubtitle"/>
      </w:pPr>
      <w:r>
        <w:t>Dochody z majątku</w:t>
      </w:r>
    </w:p>
    <w:p w:rsidR="00954D08" w:rsidRDefault="009A60DE">
      <w:pPr>
        <w:jc w:val="both"/>
      </w:pPr>
      <w:r>
        <w:t>Dochody z majątku w 2024 roku zostały zaplanowane na poziomie 202 980,20 zł, natomiast zrealizowane w kwocie 215 480,20 zł, co stanowi 106,16% realizacji planu, przy czym:</w:t>
      </w:r>
    </w:p>
    <w:p w:rsidR="00954D08" w:rsidRDefault="009A60DE">
      <w:pPr>
        <w:pStyle w:val="Akapitzlist"/>
        <w:numPr>
          <w:ilvl w:val="0"/>
          <w:numId w:val="29"/>
        </w:numPr>
        <w:jc w:val="both"/>
      </w:pPr>
      <w:r>
        <w:t>wpływy ze zbycia praw majątkowych wyniosły 188 378,20 zł;</w:t>
      </w:r>
    </w:p>
    <w:p w:rsidR="00954D08" w:rsidRDefault="009A60DE">
      <w:pPr>
        <w:pStyle w:val="Akapitzlist"/>
        <w:numPr>
          <w:ilvl w:val="0"/>
          <w:numId w:val="29"/>
        </w:numPr>
        <w:jc w:val="both"/>
      </w:pPr>
      <w:r>
        <w:t>wpływy ze sprzedaży składników majątkowych wyniosły 14 602,00 zł;</w:t>
      </w:r>
    </w:p>
    <w:p w:rsidR="00954D08" w:rsidRDefault="009A60DE">
      <w:pPr>
        <w:pStyle w:val="Akapitzlist"/>
        <w:numPr>
          <w:ilvl w:val="0"/>
          <w:numId w:val="29"/>
        </w:numPr>
        <w:jc w:val="both"/>
      </w:pPr>
      <w:r>
        <w:t>wpływy z tytułu przekształcenia prawa użytkowania wieczystego w prawo własności wyniosły 12 500,00 zł.</w:t>
      </w:r>
    </w:p>
    <w:p w:rsidR="00954D08" w:rsidRDefault="009A60DE">
      <w:pPr>
        <w:pStyle w:val="SmallSubtitle"/>
      </w:pPr>
      <w:r>
        <w:lastRenderedPageBreak/>
        <w:t>Dotacje i środki na inwestycje</w:t>
      </w:r>
    </w:p>
    <w:p w:rsidR="00954D08" w:rsidRDefault="009A60DE">
      <w:pPr>
        <w:jc w:val="both"/>
      </w:pPr>
      <w:r>
        <w:t>Dotacje i środki na inwestycje w 2024 roku zostały zaplanowane na poziomie 8 390 687,32 zł, natomiast zrealizowane w kwocie 8 390 687,32 zł, co stanowi 100,00% realizacji planu.</w:t>
      </w:r>
    </w:p>
    <w:p w:rsidR="00954D08" w:rsidRDefault="009A60DE">
      <w:pPr>
        <w:jc w:val="both"/>
      </w:pPr>
      <w:r>
        <w:t>Największy poziom dotacji i środków na inwestycje Gmina uzyskała na realizację zadań w obszarze:</w:t>
      </w:r>
    </w:p>
    <w:p w:rsidR="00954D08" w:rsidRDefault="009A60DE">
      <w:pPr>
        <w:pStyle w:val="Akapitzlist"/>
        <w:numPr>
          <w:ilvl w:val="0"/>
          <w:numId w:val="30"/>
        </w:numPr>
        <w:jc w:val="both"/>
      </w:pPr>
      <w:r>
        <w:t>Infrastruktura wodociągowa wsi w ramach działu Rolnictwo i łowiectwo – 4 710 900,00 zł;</w:t>
      </w:r>
    </w:p>
    <w:p w:rsidR="00954D08" w:rsidRDefault="009A60DE">
      <w:pPr>
        <w:pStyle w:val="Akapitzlist"/>
        <w:numPr>
          <w:ilvl w:val="0"/>
          <w:numId w:val="30"/>
        </w:numPr>
        <w:jc w:val="both"/>
      </w:pPr>
      <w:r>
        <w:t>Drogi publiczne gminne w ramach działu Transport i łączność – 1 544 879,75 zł;</w:t>
      </w:r>
    </w:p>
    <w:p w:rsidR="00954D08" w:rsidRDefault="009A60DE">
      <w:pPr>
        <w:pStyle w:val="Akapitzlist"/>
        <w:numPr>
          <w:ilvl w:val="0"/>
          <w:numId w:val="30"/>
        </w:numPr>
        <w:jc w:val="both"/>
      </w:pPr>
      <w:r>
        <w:t>Ochrona powietrza atmosferycznego i klimatu w ramach działu Gospodarka komunalna i ochrona środowiska – 1 070 353,76 zł;</w:t>
      </w:r>
    </w:p>
    <w:p w:rsidR="00954D08" w:rsidRDefault="009A60DE">
      <w:pPr>
        <w:pStyle w:val="Akapitzlist"/>
        <w:numPr>
          <w:ilvl w:val="0"/>
          <w:numId w:val="30"/>
        </w:numPr>
        <w:jc w:val="both"/>
      </w:pPr>
      <w:r>
        <w:t>Ochrona zabytków i opieka nad zabytkami w ramach działu Kultura i ochrona dziedzictwa narodowego – 614 000,00 zł.</w:t>
      </w:r>
    </w:p>
    <w:p w:rsidR="00954D08" w:rsidRDefault="009A60DE">
      <w:pPr>
        <w:pStyle w:val="SmallSubtitle"/>
      </w:pPr>
      <w:r>
        <w:t>Pozostałe dochody majątkowe</w:t>
      </w:r>
    </w:p>
    <w:p w:rsidR="00954D08" w:rsidRDefault="009A60DE">
      <w:pPr>
        <w:jc w:val="both"/>
      </w:pPr>
      <w:r>
        <w:t>Pozostałe dochody majątkowe to dochody niesklasyfikowane w ramach wcześniejszych grup. W okresie sprawozdawczym przewidywano wykonanie na poziomie 83 000,00 zł. Plan został wykonany w kwocie 83 000,00 zł, co stanowi 100,00% założeń.</w:t>
      </w:r>
    </w:p>
    <w:p w:rsidR="00954D08" w:rsidRDefault="009A60DE">
      <w:pPr>
        <w:jc w:val="both"/>
      </w:pPr>
      <w:r>
        <w:t>W ramach pozostałych dochodów majątkowych sklasyfikowane zostały wpływy ze zwrotów niewykorzystanych dotacji oraz płatności, dotyczące dochodów majątkowych w kwocie 83 000,00 zł.</w:t>
      </w:r>
    </w:p>
    <w:p w:rsidR="00954D08" w:rsidRDefault="009A60DE">
      <w:pPr>
        <w:pStyle w:val="SmallSubtitle"/>
      </w:pPr>
      <w:r>
        <w:t>Wydatki</w:t>
      </w:r>
    </w:p>
    <w:p w:rsidR="00954D08" w:rsidRDefault="009A60DE">
      <w:pPr>
        <w:jc w:val="both"/>
      </w:pPr>
      <w:r>
        <w:t>Wydatki budżetu Gminy w 2024 roku wyniosły 72 663 453,67 zł, a ich realizacja wyniosła 91,88% planu wynoszącego 79 084 734,45 zł. W 2024 roku wydatki bieżące zostały wykonane na poziomie 55 638 189,19 zł, tj. w 90,14% w stosunku do planu po zmianach wynoszącego 61 725 850,18 zł, z kolei majątkowe zostały wykonane na poziomie 17 025 264,48 zł, tj. w 98,08% w stosunku do planu po zmianach wynoszącego 17 358 884,27 zł.</w:t>
      </w:r>
    </w:p>
    <w:p w:rsidR="00954D08" w:rsidRDefault="009A60DE">
      <w:pPr>
        <w:jc w:val="both"/>
      </w:pPr>
      <w:r>
        <w:t>Realizację planu wydatków w 2024 roku przedstawia tabela poniżej.</w:t>
      </w:r>
    </w:p>
    <w:tbl>
      <w:tblPr>
        <w:tblStyle w:val="TabelaCurulisEco"/>
        <w:tblW w:w="5000" w:type="pct"/>
        <w:tblLook w:val="04A0" w:firstRow="1" w:lastRow="0" w:firstColumn="1" w:lastColumn="0" w:noHBand="0" w:noVBand="1"/>
      </w:tblPr>
      <w:tblGrid>
        <w:gridCol w:w="504"/>
        <w:gridCol w:w="2731"/>
        <w:gridCol w:w="1548"/>
        <w:gridCol w:w="1548"/>
        <w:gridCol w:w="1548"/>
        <w:gridCol w:w="1252"/>
        <w:gridCol w:w="733"/>
      </w:tblGrid>
      <w:tr w:rsidR="00954D08" w:rsidTr="00954D08">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50" w:type="pct"/>
            <w:tcMar>
              <w:top w:w="11" w:type="dxa"/>
              <w:left w:w="85" w:type="dxa"/>
              <w:bottom w:w="6" w:type="dxa"/>
              <w:right w:w="85" w:type="dxa"/>
            </w:tcMar>
          </w:tcPr>
          <w:p w:rsidR="00954D08" w:rsidRDefault="009A60DE">
            <w:pPr>
              <w:rPr>
                <w:sz w:val="15"/>
                <w:szCs w:val="15"/>
              </w:rPr>
            </w:pPr>
            <w:r>
              <w:rPr>
                <w:sz w:val="15"/>
                <w:szCs w:val="15"/>
              </w:rPr>
              <w:t>Dział</w:t>
            </w:r>
          </w:p>
        </w:tc>
        <w:tc>
          <w:tcPr>
            <w:tcW w:w="1500" w:type="pct"/>
            <w:tcMar>
              <w:top w:w="11" w:type="dxa"/>
              <w:left w:w="85" w:type="dxa"/>
              <w:bottom w:w="6" w:type="dxa"/>
              <w:right w:w="85" w:type="dxa"/>
            </w:tcMar>
          </w:tcPr>
          <w:p w:rsidR="00954D08" w:rsidRDefault="009A60DE">
            <w:pPr>
              <w:cnfStyle w:val="100000000000" w:firstRow="1" w:lastRow="0" w:firstColumn="0" w:lastColumn="0" w:oddVBand="0" w:evenVBand="0" w:oddHBand="0" w:evenHBand="0" w:firstRowFirstColumn="0" w:firstRowLastColumn="0" w:lastRowFirstColumn="0" w:lastRowLastColumn="0"/>
              <w:rPr>
                <w:sz w:val="15"/>
                <w:szCs w:val="15"/>
              </w:rPr>
            </w:pPr>
            <w:r>
              <w:rPr>
                <w:sz w:val="15"/>
                <w:szCs w:val="15"/>
              </w:rPr>
              <w:t>Wyszczególnienie</w:t>
            </w:r>
          </w:p>
        </w:tc>
        <w:tc>
          <w:tcPr>
            <w:tcW w:w="900" w:type="pct"/>
            <w:tcMar>
              <w:top w:w="11" w:type="dxa"/>
              <w:left w:w="85" w:type="dxa"/>
              <w:bottom w:w="6" w:type="dxa"/>
              <w:right w:w="85" w:type="dxa"/>
            </w:tcMar>
          </w:tcPr>
          <w:p w:rsidR="00954D08" w:rsidRDefault="009A60DE">
            <w:pPr>
              <w:cnfStyle w:val="100000000000" w:firstRow="1" w:lastRow="0" w:firstColumn="0" w:lastColumn="0" w:oddVBand="0" w:evenVBand="0" w:oddHBand="0" w:evenHBand="0" w:firstRowFirstColumn="0" w:firstRowLastColumn="0" w:lastRowFirstColumn="0" w:lastRowLastColumn="0"/>
              <w:rPr>
                <w:sz w:val="15"/>
                <w:szCs w:val="15"/>
              </w:rPr>
            </w:pPr>
            <w:r>
              <w:rPr>
                <w:sz w:val="15"/>
                <w:szCs w:val="15"/>
              </w:rPr>
              <w:t>Plan na 1.01.2024 r. (w zł)</w:t>
            </w:r>
          </w:p>
        </w:tc>
        <w:tc>
          <w:tcPr>
            <w:tcW w:w="900" w:type="pct"/>
            <w:tcMar>
              <w:top w:w="11" w:type="dxa"/>
              <w:left w:w="85" w:type="dxa"/>
              <w:bottom w:w="6" w:type="dxa"/>
              <w:right w:w="85" w:type="dxa"/>
            </w:tcMar>
          </w:tcPr>
          <w:p w:rsidR="00954D08" w:rsidRDefault="009A60DE">
            <w:pPr>
              <w:cnfStyle w:val="100000000000" w:firstRow="1" w:lastRow="0" w:firstColumn="0" w:lastColumn="0" w:oddVBand="0" w:evenVBand="0" w:oddHBand="0" w:evenHBand="0" w:firstRowFirstColumn="0" w:firstRowLastColumn="0" w:lastRowFirstColumn="0" w:lastRowLastColumn="0"/>
              <w:rPr>
                <w:sz w:val="15"/>
                <w:szCs w:val="15"/>
              </w:rPr>
            </w:pPr>
            <w:r>
              <w:rPr>
                <w:sz w:val="15"/>
                <w:szCs w:val="15"/>
              </w:rPr>
              <w:t>Plan na 31.12.2024 r. (w zł)</w:t>
            </w:r>
          </w:p>
        </w:tc>
        <w:tc>
          <w:tcPr>
            <w:tcW w:w="900" w:type="pct"/>
            <w:tcMar>
              <w:top w:w="11" w:type="dxa"/>
              <w:left w:w="85" w:type="dxa"/>
              <w:bottom w:w="6" w:type="dxa"/>
              <w:right w:w="85" w:type="dxa"/>
            </w:tcMar>
          </w:tcPr>
          <w:p w:rsidR="00954D08" w:rsidRDefault="009A60DE">
            <w:pPr>
              <w:cnfStyle w:val="100000000000" w:firstRow="1" w:lastRow="0" w:firstColumn="0" w:lastColumn="0" w:oddVBand="0" w:evenVBand="0" w:oddHBand="0" w:evenHBand="0" w:firstRowFirstColumn="0" w:firstRowLastColumn="0" w:lastRowFirstColumn="0" w:lastRowLastColumn="0"/>
              <w:rPr>
                <w:sz w:val="15"/>
                <w:szCs w:val="15"/>
              </w:rPr>
            </w:pPr>
            <w:r>
              <w:rPr>
                <w:sz w:val="15"/>
                <w:szCs w:val="15"/>
              </w:rPr>
              <w:t>Wykonanie (w zł)</w:t>
            </w:r>
          </w:p>
        </w:tc>
        <w:tc>
          <w:tcPr>
            <w:tcW w:w="750" w:type="pct"/>
            <w:tcMar>
              <w:top w:w="11" w:type="dxa"/>
              <w:left w:w="85" w:type="dxa"/>
              <w:bottom w:w="6" w:type="dxa"/>
              <w:right w:w="85" w:type="dxa"/>
            </w:tcMar>
          </w:tcPr>
          <w:p w:rsidR="00954D08" w:rsidRDefault="009A60DE">
            <w:pPr>
              <w:cnfStyle w:val="100000000000" w:firstRow="1" w:lastRow="0" w:firstColumn="0" w:lastColumn="0" w:oddVBand="0" w:evenVBand="0" w:oddHBand="0" w:evenHBand="0" w:firstRowFirstColumn="0" w:firstRowLastColumn="0" w:lastRowFirstColumn="0" w:lastRowLastColumn="0"/>
              <w:rPr>
                <w:sz w:val="15"/>
                <w:szCs w:val="15"/>
              </w:rPr>
            </w:pPr>
            <w:r>
              <w:rPr>
                <w:sz w:val="15"/>
                <w:szCs w:val="15"/>
              </w:rPr>
              <w:t>Realizacja planu po zmianach (w %)</w:t>
            </w:r>
          </w:p>
        </w:tc>
        <w:tc>
          <w:tcPr>
            <w:tcW w:w="250" w:type="pct"/>
            <w:tcMar>
              <w:top w:w="11" w:type="dxa"/>
              <w:left w:w="85" w:type="dxa"/>
              <w:bottom w:w="6" w:type="dxa"/>
              <w:right w:w="85" w:type="dxa"/>
            </w:tcMar>
          </w:tcPr>
          <w:p w:rsidR="00954D08" w:rsidRDefault="009A60DE">
            <w:pPr>
              <w:cnfStyle w:val="100000000000" w:firstRow="1" w:lastRow="0" w:firstColumn="0" w:lastColumn="0" w:oddVBand="0" w:evenVBand="0" w:oddHBand="0" w:evenHBand="0" w:firstRowFirstColumn="0" w:firstRowLastColumn="0" w:lastRowFirstColumn="0" w:lastRowLastColumn="0"/>
              <w:rPr>
                <w:sz w:val="15"/>
                <w:szCs w:val="15"/>
              </w:rPr>
            </w:pPr>
            <w:r>
              <w:rPr>
                <w:sz w:val="15"/>
                <w:szCs w:val="15"/>
              </w:rPr>
              <w:t>Udział (w %)</w:t>
            </w:r>
          </w:p>
        </w:tc>
      </w:tr>
      <w:tr w:rsidR="00954D08" w:rsidTr="00954D08">
        <w:tc>
          <w:tcPr>
            <w:cnfStyle w:val="001000000000" w:firstRow="0" w:lastRow="0" w:firstColumn="1" w:lastColumn="0" w:oddVBand="0" w:evenVBand="0" w:oddHBand="0" w:evenHBand="0" w:firstRowFirstColumn="0" w:firstRowLastColumn="0" w:lastRowFirstColumn="0" w:lastRowLastColumn="0"/>
            <w:tcW w:w="50" w:type="pct"/>
            <w:tcMar>
              <w:top w:w="11" w:type="dxa"/>
              <w:left w:w="85" w:type="dxa"/>
              <w:bottom w:w="6" w:type="dxa"/>
              <w:right w:w="85" w:type="dxa"/>
            </w:tcMar>
          </w:tcPr>
          <w:p w:rsidR="00954D08" w:rsidRDefault="009A60DE">
            <w:pPr>
              <w:rPr>
                <w:sz w:val="15"/>
                <w:szCs w:val="15"/>
              </w:rPr>
            </w:pPr>
            <w:r>
              <w:rPr>
                <w:sz w:val="15"/>
                <w:szCs w:val="15"/>
              </w:rPr>
              <w:t>801</w:t>
            </w:r>
          </w:p>
        </w:tc>
        <w:tc>
          <w:tcPr>
            <w:tcW w:w="150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Oświata i wychowanie</w:t>
            </w:r>
          </w:p>
        </w:tc>
        <w:tc>
          <w:tcPr>
            <w:tcW w:w="90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25 799 503,00</w:t>
            </w:r>
          </w:p>
        </w:tc>
        <w:tc>
          <w:tcPr>
            <w:tcW w:w="90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29 695 610,50</w:t>
            </w:r>
          </w:p>
        </w:tc>
        <w:tc>
          <w:tcPr>
            <w:tcW w:w="90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26 955 681,12</w:t>
            </w:r>
          </w:p>
        </w:tc>
        <w:tc>
          <w:tcPr>
            <w:tcW w:w="75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90,77%</w:t>
            </w:r>
          </w:p>
        </w:tc>
        <w:tc>
          <w:tcPr>
            <w:tcW w:w="25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37,10%</w:t>
            </w:r>
          </w:p>
        </w:tc>
      </w:tr>
      <w:tr w:rsidR="00954D08" w:rsidTr="00954D08">
        <w:tc>
          <w:tcPr>
            <w:cnfStyle w:val="001000000000" w:firstRow="0" w:lastRow="0" w:firstColumn="1" w:lastColumn="0" w:oddVBand="0" w:evenVBand="0" w:oddHBand="0" w:evenHBand="0" w:firstRowFirstColumn="0" w:firstRowLastColumn="0" w:lastRowFirstColumn="0" w:lastRowLastColumn="0"/>
            <w:tcW w:w="50" w:type="pct"/>
            <w:tcMar>
              <w:top w:w="11" w:type="dxa"/>
              <w:left w:w="85" w:type="dxa"/>
              <w:bottom w:w="6" w:type="dxa"/>
              <w:right w:w="85" w:type="dxa"/>
            </w:tcMar>
          </w:tcPr>
          <w:p w:rsidR="00954D08" w:rsidRDefault="009A60DE">
            <w:pPr>
              <w:rPr>
                <w:sz w:val="15"/>
                <w:szCs w:val="15"/>
              </w:rPr>
            </w:pPr>
            <w:r>
              <w:rPr>
                <w:sz w:val="15"/>
                <w:szCs w:val="15"/>
              </w:rPr>
              <w:t>900</w:t>
            </w:r>
          </w:p>
        </w:tc>
        <w:tc>
          <w:tcPr>
            <w:tcW w:w="150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Gospodarka komunalna i ochrona środowiska</w:t>
            </w:r>
          </w:p>
        </w:tc>
        <w:tc>
          <w:tcPr>
            <w:tcW w:w="90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12 371 453,48</w:t>
            </w:r>
          </w:p>
        </w:tc>
        <w:tc>
          <w:tcPr>
            <w:tcW w:w="90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11 627 611,52</w:t>
            </w:r>
          </w:p>
        </w:tc>
        <w:tc>
          <w:tcPr>
            <w:tcW w:w="90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10 907 497,20</w:t>
            </w:r>
          </w:p>
        </w:tc>
        <w:tc>
          <w:tcPr>
            <w:tcW w:w="75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93,81%</w:t>
            </w:r>
          </w:p>
        </w:tc>
        <w:tc>
          <w:tcPr>
            <w:tcW w:w="25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15,01%</w:t>
            </w:r>
          </w:p>
        </w:tc>
      </w:tr>
      <w:tr w:rsidR="00954D08" w:rsidTr="00954D08">
        <w:tc>
          <w:tcPr>
            <w:cnfStyle w:val="001000000000" w:firstRow="0" w:lastRow="0" w:firstColumn="1" w:lastColumn="0" w:oddVBand="0" w:evenVBand="0" w:oddHBand="0" w:evenHBand="0" w:firstRowFirstColumn="0" w:firstRowLastColumn="0" w:lastRowFirstColumn="0" w:lastRowLastColumn="0"/>
            <w:tcW w:w="50" w:type="pct"/>
            <w:tcMar>
              <w:top w:w="11" w:type="dxa"/>
              <w:left w:w="85" w:type="dxa"/>
              <w:bottom w:w="6" w:type="dxa"/>
              <w:right w:w="85" w:type="dxa"/>
            </w:tcMar>
          </w:tcPr>
          <w:p w:rsidR="00954D08" w:rsidRDefault="009A60DE">
            <w:pPr>
              <w:rPr>
                <w:sz w:val="15"/>
                <w:szCs w:val="15"/>
              </w:rPr>
            </w:pPr>
            <w:r>
              <w:rPr>
                <w:sz w:val="15"/>
                <w:szCs w:val="15"/>
              </w:rPr>
              <w:t>750</w:t>
            </w:r>
          </w:p>
        </w:tc>
        <w:tc>
          <w:tcPr>
            <w:tcW w:w="150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Administracja publiczna</w:t>
            </w:r>
          </w:p>
        </w:tc>
        <w:tc>
          <w:tcPr>
            <w:tcW w:w="90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8 152 684,00</w:t>
            </w:r>
          </w:p>
        </w:tc>
        <w:tc>
          <w:tcPr>
            <w:tcW w:w="90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8 660 506,81</w:t>
            </w:r>
          </w:p>
        </w:tc>
        <w:tc>
          <w:tcPr>
            <w:tcW w:w="90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7 346 409,38</w:t>
            </w:r>
          </w:p>
        </w:tc>
        <w:tc>
          <w:tcPr>
            <w:tcW w:w="75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84,83%</w:t>
            </w:r>
          </w:p>
        </w:tc>
        <w:tc>
          <w:tcPr>
            <w:tcW w:w="25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10,11%</w:t>
            </w:r>
          </w:p>
        </w:tc>
      </w:tr>
      <w:tr w:rsidR="00954D08" w:rsidTr="00954D08">
        <w:tc>
          <w:tcPr>
            <w:cnfStyle w:val="001000000000" w:firstRow="0" w:lastRow="0" w:firstColumn="1" w:lastColumn="0" w:oddVBand="0" w:evenVBand="0" w:oddHBand="0" w:evenHBand="0" w:firstRowFirstColumn="0" w:firstRowLastColumn="0" w:lastRowFirstColumn="0" w:lastRowLastColumn="0"/>
            <w:tcW w:w="50" w:type="pct"/>
            <w:tcMar>
              <w:top w:w="11" w:type="dxa"/>
              <w:left w:w="85" w:type="dxa"/>
              <w:bottom w:w="6" w:type="dxa"/>
              <w:right w:w="85" w:type="dxa"/>
            </w:tcMar>
          </w:tcPr>
          <w:p w:rsidR="00954D08" w:rsidRDefault="009A60DE">
            <w:pPr>
              <w:rPr>
                <w:sz w:val="15"/>
                <w:szCs w:val="15"/>
              </w:rPr>
            </w:pPr>
            <w:r>
              <w:rPr>
                <w:sz w:val="15"/>
                <w:szCs w:val="15"/>
              </w:rPr>
              <w:t>855</w:t>
            </w:r>
          </w:p>
        </w:tc>
        <w:tc>
          <w:tcPr>
            <w:tcW w:w="150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Rodzina</w:t>
            </w:r>
          </w:p>
        </w:tc>
        <w:tc>
          <w:tcPr>
            <w:tcW w:w="90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4 638 439,00</w:t>
            </w:r>
          </w:p>
        </w:tc>
        <w:tc>
          <w:tcPr>
            <w:tcW w:w="90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6 616 985,70</w:t>
            </w:r>
          </w:p>
        </w:tc>
        <w:tc>
          <w:tcPr>
            <w:tcW w:w="90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6 539 335,17</w:t>
            </w:r>
          </w:p>
        </w:tc>
        <w:tc>
          <w:tcPr>
            <w:tcW w:w="75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98,83%</w:t>
            </w:r>
          </w:p>
        </w:tc>
        <w:tc>
          <w:tcPr>
            <w:tcW w:w="25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9,00%</w:t>
            </w:r>
          </w:p>
        </w:tc>
      </w:tr>
      <w:tr w:rsidR="00954D08" w:rsidTr="00954D08">
        <w:tc>
          <w:tcPr>
            <w:cnfStyle w:val="001000000000" w:firstRow="0" w:lastRow="0" w:firstColumn="1" w:lastColumn="0" w:oddVBand="0" w:evenVBand="0" w:oddHBand="0" w:evenHBand="0" w:firstRowFirstColumn="0" w:firstRowLastColumn="0" w:lastRowFirstColumn="0" w:lastRowLastColumn="0"/>
            <w:tcW w:w="50" w:type="pct"/>
            <w:tcMar>
              <w:top w:w="11" w:type="dxa"/>
              <w:left w:w="85" w:type="dxa"/>
              <w:bottom w:w="6" w:type="dxa"/>
              <w:right w:w="85" w:type="dxa"/>
            </w:tcMar>
          </w:tcPr>
          <w:p w:rsidR="00954D08" w:rsidRDefault="009A60DE">
            <w:pPr>
              <w:rPr>
                <w:sz w:val="15"/>
                <w:szCs w:val="15"/>
              </w:rPr>
            </w:pPr>
            <w:r>
              <w:rPr>
                <w:sz w:val="15"/>
                <w:szCs w:val="15"/>
              </w:rPr>
              <w:t>010</w:t>
            </w:r>
          </w:p>
        </w:tc>
        <w:tc>
          <w:tcPr>
            <w:tcW w:w="150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Rolnictwo i łowiectwo</w:t>
            </w:r>
          </w:p>
        </w:tc>
        <w:tc>
          <w:tcPr>
            <w:tcW w:w="90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5 096 492,00</w:t>
            </w:r>
          </w:p>
        </w:tc>
        <w:tc>
          <w:tcPr>
            <w:tcW w:w="90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6 248 762,34</w:t>
            </w:r>
          </w:p>
        </w:tc>
        <w:tc>
          <w:tcPr>
            <w:tcW w:w="90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6 230 777,91</w:t>
            </w:r>
          </w:p>
        </w:tc>
        <w:tc>
          <w:tcPr>
            <w:tcW w:w="75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99,71%</w:t>
            </w:r>
          </w:p>
        </w:tc>
        <w:tc>
          <w:tcPr>
            <w:tcW w:w="25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8,57%</w:t>
            </w:r>
          </w:p>
        </w:tc>
      </w:tr>
      <w:tr w:rsidR="00954D08" w:rsidTr="00954D08">
        <w:tc>
          <w:tcPr>
            <w:cnfStyle w:val="001000000000" w:firstRow="0" w:lastRow="0" w:firstColumn="1" w:lastColumn="0" w:oddVBand="0" w:evenVBand="0" w:oddHBand="0" w:evenHBand="0" w:firstRowFirstColumn="0" w:firstRowLastColumn="0" w:lastRowFirstColumn="0" w:lastRowLastColumn="0"/>
            <w:tcW w:w="50" w:type="pct"/>
            <w:tcMar>
              <w:top w:w="11" w:type="dxa"/>
              <w:left w:w="85" w:type="dxa"/>
              <w:bottom w:w="6" w:type="dxa"/>
              <w:right w:w="85" w:type="dxa"/>
            </w:tcMar>
          </w:tcPr>
          <w:p w:rsidR="00954D08" w:rsidRDefault="009A60DE">
            <w:pPr>
              <w:rPr>
                <w:sz w:val="15"/>
                <w:szCs w:val="15"/>
              </w:rPr>
            </w:pPr>
            <w:r>
              <w:rPr>
                <w:sz w:val="15"/>
                <w:szCs w:val="15"/>
              </w:rPr>
              <w:t>600</w:t>
            </w:r>
          </w:p>
        </w:tc>
        <w:tc>
          <w:tcPr>
            <w:tcW w:w="150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Transport i łączność</w:t>
            </w:r>
          </w:p>
        </w:tc>
        <w:tc>
          <w:tcPr>
            <w:tcW w:w="90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4 649 553,23</w:t>
            </w:r>
          </w:p>
        </w:tc>
        <w:tc>
          <w:tcPr>
            <w:tcW w:w="90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6 232 569,97</w:t>
            </w:r>
          </w:p>
        </w:tc>
        <w:tc>
          <w:tcPr>
            <w:tcW w:w="90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6 148 020,16</w:t>
            </w:r>
          </w:p>
        </w:tc>
        <w:tc>
          <w:tcPr>
            <w:tcW w:w="75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98,64%</w:t>
            </w:r>
          </w:p>
        </w:tc>
        <w:tc>
          <w:tcPr>
            <w:tcW w:w="25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8,46%</w:t>
            </w:r>
          </w:p>
        </w:tc>
      </w:tr>
      <w:tr w:rsidR="00954D08" w:rsidTr="00954D08">
        <w:tc>
          <w:tcPr>
            <w:cnfStyle w:val="001000000000" w:firstRow="0" w:lastRow="0" w:firstColumn="1" w:lastColumn="0" w:oddVBand="0" w:evenVBand="0" w:oddHBand="0" w:evenHBand="0" w:firstRowFirstColumn="0" w:firstRowLastColumn="0" w:lastRowFirstColumn="0" w:lastRowLastColumn="0"/>
            <w:tcW w:w="50" w:type="pct"/>
            <w:tcMar>
              <w:top w:w="11" w:type="dxa"/>
              <w:left w:w="85" w:type="dxa"/>
              <w:bottom w:w="6" w:type="dxa"/>
              <w:right w:w="85" w:type="dxa"/>
            </w:tcMar>
          </w:tcPr>
          <w:p w:rsidR="00954D08" w:rsidRDefault="009A60DE">
            <w:pPr>
              <w:rPr>
                <w:sz w:val="15"/>
                <w:szCs w:val="15"/>
              </w:rPr>
            </w:pPr>
            <w:r>
              <w:rPr>
                <w:sz w:val="15"/>
                <w:szCs w:val="15"/>
              </w:rPr>
              <w:t>852</w:t>
            </w:r>
          </w:p>
        </w:tc>
        <w:tc>
          <w:tcPr>
            <w:tcW w:w="150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Pomoc społeczna</w:t>
            </w:r>
          </w:p>
        </w:tc>
        <w:tc>
          <w:tcPr>
            <w:tcW w:w="90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2 282 834,00</w:t>
            </w:r>
          </w:p>
        </w:tc>
        <w:tc>
          <w:tcPr>
            <w:tcW w:w="90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3 248 929,28</w:t>
            </w:r>
          </w:p>
        </w:tc>
        <w:tc>
          <w:tcPr>
            <w:tcW w:w="90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2 778 197,52</w:t>
            </w:r>
          </w:p>
        </w:tc>
        <w:tc>
          <w:tcPr>
            <w:tcW w:w="75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85,51%</w:t>
            </w:r>
          </w:p>
        </w:tc>
        <w:tc>
          <w:tcPr>
            <w:tcW w:w="25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3,82%</w:t>
            </w:r>
          </w:p>
        </w:tc>
      </w:tr>
      <w:tr w:rsidR="00954D08" w:rsidTr="00954D08">
        <w:tc>
          <w:tcPr>
            <w:cnfStyle w:val="001000000000" w:firstRow="0" w:lastRow="0" w:firstColumn="1" w:lastColumn="0" w:oddVBand="0" w:evenVBand="0" w:oddHBand="0" w:evenHBand="0" w:firstRowFirstColumn="0" w:firstRowLastColumn="0" w:lastRowFirstColumn="0" w:lastRowLastColumn="0"/>
            <w:tcW w:w="50" w:type="pct"/>
            <w:tcMar>
              <w:top w:w="11" w:type="dxa"/>
              <w:left w:w="85" w:type="dxa"/>
              <w:bottom w:w="6" w:type="dxa"/>
              <w:right w:w="85" w:type="dxa"/>
            </w:tcMar>
          </w:tcPr>
          <w:p w:rsidR="00954D08" w:rsidRDefault="009A60DE">
            <w:pPr>
              <w:rPr>
                <w:sz w:val="15"/>
                <w:szCs w:val="15"/>
              </w:rPr>
            </w:pPr>
            <w:r>
              <w:rPr>
                <w:sz w:val="15"/>
                <w:szCs w:val="15"/>
              </w:rPr>
              <w:t>400</w:t>
            </w:r>
          </w:p>
        </w:tc>
        <w:tc>
          <w:tcPr>
            <w:tcW w:w="150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Wytwarzanie i zaopatrywanie w energię elektryczną, gaz i wodę</w:t>
            </w:r>
          </w:p>
        </w:tc>
        <w:tc>
          <w:tcPr>
            <w:tcW w:w="90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1 501 040,00</w:t>
            </w:r>
          </w:p>
        </w:tc>
        <w:tc>
          <w:tcPr>
            <w:tcW w:w="90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2 127 040,00</w:t>
            </w:r>
          </w:p>
        </w:tc>
        <w:tc>
          <w:tcPr>
            <w:tcW w:w="90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1 917 602,29</w:t>
            </w:r>
          </w:p>
        </w:tc>
        <w:tc>
          <w:tcPr>
            <w:tcW w:w="75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90,15%</w:t>
            </w:r>
          </w:p>
        </w:tc>
        <w:tc>
          <w:tcPr>
            <w:tcW w:w="25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2,64%</w:t>
            </w:r>
          </w:p>
        </w:tc>
      </w:tr>
      <w:tr w:rsidR="00954D08" w:rsidTr="00954D08">
        <w:tc>
          <w:tcPr>
            <w:cnfStyle w:val="001000000000" w:firstRow="0" w:lastRow="0" w:firstColumn="1" w:lastColumn="0" w:oddVBand="0" w:evenVBand="0" w:oddHBand="0" w:evenHBand="0" w:firstRowFirstColumn="0" w:firstRowLastColumn="0" w:lastRowFirstColumn="0" w:lastRowLastColumn="0"/>
            <w:tcW w:w="50" w:type="pct"/>
            <w:tcMar>
              <w:top w:w="11" w:type="dxa"/>
              <w:left w:w="85" w:type="dxa"/>
              <w:bottom w:w="6" w:type="dxa"/>
              <w:right w:w="85" w:type="dxa"/>
            </w:tcMar>
          </w:tcPr>
          <w:p w:rsidR="00954D08" w:rsidRDefault="009A60DE">
            <w:pPr>
              <w:rPr>
                <w:sz w:val="15"/>
                <w:szCs w:val="15"/>
              </w:rPr>
            </w:pPr>
            <w:r>
              <w:rPr>
                <w:sz w:val="15"/>
                <w:szCs w:val="15"/>
              </w:rPr>
              <w:t>921</w:t>
            </w:r>
          </w:p>
        </w:tc>
        <w:tc>
          <w:tcPr>
            <w:tcW w:w="150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Kultura i ochrona dziedzictwa narodowego</w:t>
            </w:r>
          </w:p>
        </w:tc>
        <w:tc>
          <w:tcPr>
            <w:tcW w:w="90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1 819 611,28</w:t>
            </w:r>
          </w:p>
        </w:tc>
        <w:tc>
          <w:tcPr>
            <w:tcW w:w="90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1 465 882,43</w:t>
            </w:r>
          </w:p>
        </w:tc>
        <w:tc>
          <w:tcPr>
            <w:tcW w:w="90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1 403 526,18</w:t>
            </w:r>
          </w:p>
        </w:tc>
        <w:tc>
          <w:tcPr>
            <w:tcW w:w="75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95,75%</w:t>
            </w:r>
          </w:p>
        </w:tc>
        <w:tc>
          <w:tcPr>
            <w:tcW w:w="25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1,93%</w:t>
            </w:r>
          </w:p>
        </w:tc>
      </w:tr>
      <w:tr w:rsidR="00954D08" w:rsidTr="00954D08">
        <w:tc>
          <w:tcPr>
            <w:cnfStyle w:val="001000000000" w:firstRow="0" w:lastRow="0" w:firstColumn="1" w:lastColumn="0" w:oddVBand="0" w:evenVBand="0" w:oddHBand="0" w:evenHBand="0" w:firstRowFirstColumn="0" w:firstRowLastColumn="0" w:lastRowFirstColumn="0" w:lastRowLastColumn="0"/>
            <w:tcW w:w="50" w:type="pct"/>
            <w:tcMar>
              <w:top w:w="11" w:type="dxa"/>
              <w:left w:w="85" w:type="dxa"/>
              <w:bottom w:w="6" w:type="dxa"/>
              <w:right w:w="85" w:type="dxa"/>
            </w:tcMar>
          </w:tcPr>
          <w:p w:rsidR="00954D08" w:rsidRDefault="009A60DE">
            <w:pPr>
              <w:rPr>
                <w:sz w:val="15"/>
                <w:szCs w:val="15"/>
              </w:rPr>
            </w:pPr>
            <w:r>
              <w:rPr>
                <w:sz w:val="15"/>
                <w:szCs w:val="15"/>
              </w:rPr>
              <w:t>754</w:t>
            </w:r>
          </w:p>
        </w:tc>
        <w:tc>
          <w:tcPr>
            <w:tcW w:w="150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Bezpieczeństwo publiczne i ochrona przeciwpożarowa</w:t>
            </w:r>
          </w:p>
        </w:tc>
        <w:tc>
          <w:tcPr>
            <w:tcW w:w="90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471 400,00</w:t>
            </w:r>
          </w:p>
        </w:tc>
        <w:tc>
          <w:tcPr>
            <w:tcW w:w="90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991 842,13</w:t>
            </w:r>
          </w:p>
        </w:tc>
        <w:tc>
          <w:tcPr>
            <w:tcW w:w="90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954 776,25</w:t>
            </w:r>
          </w:p>
        </w:tc>
        <w:tc>
          <w:tcPr>
            <w:tcW w:w="75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96,26%</w:t>
            </w:r>
          </w:p>
        </w:tc>
        <w:tc>
          <w:tcPr>
            <w:tcW w:w="25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1,31%</w:t>
            </w:r>
          </w:p>
        </w:tc>
      </w:tr>
      <w:tr w:rsidR="00954D08" w:rsidTr="00954D08">
        <w:tc>
          <w:tcPr>
            <w:cnfStyle w:val="001000000000" w:firstRow="0" w:lastRow="0" w:firstColumn="1" w:lastColumn="0" w:oddVBand="0" w:evenVBand="0" w:oddHBand="0" w:evenHBand="0" w:firstRowFirstColumn="0" w:firstRowLastColumn="0" w:lastRowFirstColumn="0" w:lastRowLastColumn="0"/>
            <w:tcW w:w="50" w:type="pct"/>
            <w:tcMar>
              <w:top w:w="11" w:type="dxa"/>
              <w:left w:w="85" w:type="dxa"/>
              <w:bottom w:w="6" w:type="dxa"/>
              <w:right w:w="85" w:type="dxa"/>
            </w:tcMar>
          </w:tcPr>
          <w:p w:rsidR="00954D08" w:rsidRDefault="009A60DE">
            <w:pPr>
              <w:rPr>
                <w:sz w:val="15"/>
                <w:szCs w:val="15"/>
              </w:rPr>
            </w:pPr>
            <w:r>
              <w:rPr>
                <w:sz w:val="15"/>
                <w:szCs w:val="15"/>
              </w:rPr>
              <w:t>751</w:t>
            </w:r>
          </w:p>
        </w:tc>
        <w:tc>
          <w:tcPr>
            <w:tcW w:w="150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Urzędy naczelnych organów władzy państwowej, kontroli i ochrony prawa oraz sądownictwa</w:t>
            </w:r>
          </w:p>
        </w:tc>
        <w:tc>
          <w:tcPr>
            <w:tcW w:w="90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2 041,00</w:t>
            </w:r>
          </w:p>
        </w:tc>
        <w:tc>
          <w:tcPr>
            <w:tcW w:w="90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291 474,00</w:t>
            </w:r>
          </w:p>
        </w:tc>
        <w:tc>
          <w:tcPr>
            <w:tcW w:w="90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291 464,93</w:t>
            </w:r>
          </w:p>
        </w:tc>
        <w:tc>
          <w:tcPr>
            <w:tcW w:w="75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100,00%</w:t>
            </w:r>
          </w:p>
        </w:tc>
        <w:tc>
          <w:tcPr>
            <w:tcW w:w="25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0,40%</w:t>
            </w:r>
          </w:p>
        </w:tc>
      </w:tr>
      <w:tr w:rsidR="00954D08" w:rsidTr="00954D08">
        <w:tc>
          <w:tcPr>
            <w:cnfStyle w:val="001000000000" w:firstRow="0" w:lastRow="0" w:firstColumn="1" w:lastColumn="0" w:oddVBand="0" w:evenVBand="0" w:oddHBand="0" w:evenHBand="0" w:firstRowFirstColumn="0" w:firstRowLastColumn="0" w:lastRowFirstColumn="0" w:lastRowLastColumn="0"/>
            <w:tcW w:w="50" w:type="pct"/>
            <w:tcMar>
              <w:top w:w="11" w:type="dxa"/>
              <w:left w:w="85" w:type="dxa"/>
              <w:bottom w:w="6" w:type="dxa"/>
              <w:right w:w="85" w:type="dxa"/>
            </w:tcMar>
          </w:tcPr>
          <w:p w:rsidR="00954D08" w:rsidRDefault="009A60DE">
            <w:pPr>
              <w:rPr>
                <w:sz w:val="15"/>
                <w:szCs w:val="15"/>
              </w:rPr>
            </w:pPr>
            <w:r>
              <w:rPr>
                <w:sz w:val="15"/>
                <w:szCs w:val="15"/>
              </w:rPr>
              <w:t>757</w:t>
            </w:r>
          </w:p>
        </w:tc>
        <w:tc>
          <w:tcPr>
            <w:tcW w:w="150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Obsługa długu publicznego</w:t>
            </w:r>
          </w:p>
        </w:tc>
        <w:tc>
          <w:tcPr>
            <w:tcW w:w="90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328 000,00</w:t>
            </w:r>
          </w:p>
        </w:tc>
        <w:tc>
          <w:tcPr>
            <w:tcW w:w="90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328 000,00</w:t>
            </w:r>
          </w:p>
        </w:tc>
        <w:tc>
          <w:tcPr>
            <w:tcW w:w="90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282 783,26</w:t>
            </w:r>
          </w:p>
        </w:tc>
        <w:tc>
          <w:tcPr>
            <w:tcW w:w="75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86,21%</w:t>
            </w:r>
          </w:p>
        </w:tc>
        <w:tc>
          <w:tcPr>
            <w:tcW w:w="25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0,39%</w:t>
            </w:r>
          </w:p>
        </w:tc>
      </w:tr>
      <w:tr w:rsidR="00954D08" w:rsidTr="00954D08">
        <w:tc>
          <w:tcPr>
            <w:cnfStyle w:val="001000000000" w:firstRow="0" w:lastRow="0" w:firstColumn="1" w:lastColumn="0" w:oddVBand="0" w:evenVBand="0" w:oddHBand="0" w:evenHBand="0" w:firstRowFirstColumn="0" w:firstRowLastColumn="0" w:lastRowFirstColumn="0" w:lastRowLastColumn="0"/>
            <w:tcW w:w="50" w:type="pct"/>
            <w:tcMar>
              <w:top w:w="11" w:type="dxa"/>
              <w:left w:w="85" w:type="dxa"/>
              <w:bottom w:w="6" w:type="dxa"/>
              <w:right w:w="85" w:type="dxa"/>
            </w:tcMar>
          </w:tcPr>
          <w:p w:rsidR="00954D08" w:rsidRDefault="009A60DE">
            <w:pPr>
              <w:rPr>
                <w:sz w:val="15"/>
                <w:szCs w:val="15"/>
              </w:rPr>
            </w:pPr>
            <w:r>
              <w:rPr>
                <w:sz w:val="15"/>
                <w:szCs w:val="15"/>
              </w:rPr>
              <w:t>851</w:t>
            </w:r>
          </w:p>
        </w:tc>
        <w:tc>
          <w:tcPr>
            <w:tcW w:w="150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Ochrona zdrowia</w:t>
            </w:r>
          </w:p>
        </w:tc>
        <w:tc>
          <w:tcPr>
            <w:tcW w:w="90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262 100,00</w:t>
            </w:r>
          </w:p>
        </w:tc>
        <w:tc>
          <w:tcPr>
            <w:tcW w:w="90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336 620,27</w:t>
            </w:r>
          </w:p>
        </w:tc>
        <w:tc>
          <w:tcPr>
            <w:tcW w:w="90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282 190,17</w:t>
            </w:r>
          </w:p>
        </w:tc>
        <w:tc>
          <w:tcPr>
            <w:tcW w:w="75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83,83%</w:t>
            </w:r>
          </w:p>
        </w:tc>
        <w:tc>
          <w:tcPr>
            <w:tcW w:w="25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0,39%</w:t>
            </w:r>
          </w:p>
        </w:tc>
      </w:tr>
      <w:tr w:rsidR="00954D08" w:rsidTr="00954D08">
        <w:tc>
          <w:tcPr>
            <w:cnfStyle w:val="001000000000" w:firstRow="0" w:lastRow="0" w:firstColumn="1" w:lastColumn="0" w:oddVBand="0" w:evenVBand="0" w:oddHBand="0" w:evenHBand="0" w:firstRowFirstColumn="0" w:firstRowLastColumn="0" w:lastRowFirstColumn="0" w:lastRowLastColumn="0"/>
            <w:tcW w:w="50" w:type="pct"/>
            <w:tcMar>
              <w:top w:w="11" w:type="dxa"/>
              <w:left w:w="85" w:type="dxa"/>
              <w:bottom w:w="6" w:type="dxa"/>
              <w:right w:w="85" w:type="dxa"/>
            </w:tcMar>
          </w:tcPr>
          <w:p w:rsidR="00954D08" w:rsidRDefault="009A60DE">
            <w:pPr>
              <w:rPr>
                <w:sz w:val="15"/>
                <w:szCs w:val="15"/>
              </w:rPr>
            </w:pPr>
            <w:r>
              <w:rPr>
                <w:sz w:val="15"/>
                <w:szCs w:val="15"/>
              </w:rPr>
              <w:t>926</w:t>
            </w:r>
          </w:p>
        </w:tc>
        <w:tc>
          <w:tcPr>
            <w:tcW w:w="150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Kultura fizyczna</w:t>
            </w:r>
          </w:p>
        </w:tc>
        <w:tc>
          <w:tcPr>
            <w:tcW w:w="90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192 904,00</w:t>
            </w:r>
          </w:p>
        </w:tc>
        <w:tc>
          <w:tcPr>
            <w:tcW w:w="90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235 174,00</w:t>
            </w:r>
          </w:p>
        </w:tc>
        <w:tc>
          <w:tcPr>
            <w:tcW w:w="90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225 244,67</w:t>
            </w:r>
          </w:p>
        </w:tc>
        <w:tc>
          <w:tcPr>
            <w:tcW w:w="75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95,78%</w:t>
            </w:r>
          </w:p>
        </w:tc>
        <w:tc>
          <w:tcPr>
            <w:tcW w:w="25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0,31%</w:t>
            </w:r>
          </w:p>
        </w:tc>
      </w:tr>
      <w:tr w:rsidR="00954D08" w:rsidTr="00954D08">
        <w:tc>
          <w:tcPr>
            <w:cnfStyle w:val="001000000000" w:firstRow="0" w:lastRow="0" w:firstColumn="1" w:lastColumn="0" w:oddVBand="0" w:evenVBand="0" w:oddHBand="0" w:evenHBand="0" w:firstRowFirstColumn="0" w:firstRowLastColumn="0" w:lastRowFirstColumn="0" w:lastRowLastColumn="0"/>
            <w:tcW w:w="50" w:type="pct"/>
            <w:tcMar>
              <w:top w:w="11" w:type="dxa"/>
              <w:left w:w="85" w:type="dxa"/>
              <w:bottom w:w="6" w:type="dxa"/>
              <w:right w:w="85" w:type="dxa"/>
            </w:tcMar>
          </w:tcPr>
          <w:p w:rsidR="00954D08" w:rsidRDefault="009A60DE">
            <w:pPr>
              <w:rPr>
                <w:sz w:val="15"/>
                <w:szCs w:val="15"/>
              </w:rPr>
            </w:pPr>
            <w:r>
              <w:rPr>
                <w:sz w:val="15"/>
                <w:szCs w:val="15"/>
              </w:rPr>
              <w:t>700</w:t>
            </w:r>
          </w:p>
        </w:tc>
        <w:tc>
          <w:tcPr>
            <w:tcW w:w="150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Gospodarka mieszkaniowa</w:t>
            </w:r>
          </w:p>
        </w:tc>
        <w:tc>
          <w:tcPr>
            <w:tcW w:w="90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270 475,00</w:t>
            </w:r>
          </w:p>
        </w:tc>
        <w:tc>
          <w:tcPr>
            <w:tcW w:w="90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281 086,00</w:t>
            </w:r>
          </w:p>
        </w:tc>
        <w:tc>
          <w:tcPr>
            <w:tcW w:w="90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169 317,45</w:t>
            </w:r>
          </w:p>
        </w:tc>
        <w:tc>
          <w:tcPr>
            <w:tcW w:w="75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60,24%</w:t>
            </w:r>
          </w:p>
        </w:tc>
        <w:tc>
          <w:tcPr>
            <w:tcW w:w="25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0,23%</w:t>
            </w:r>
          </w:p>
        </w:tc>
      </w:tr>
      <w:tr w:rsidR="00954D08" w:rsidTr="00954D08">
        <w:tc>
          <w:tcPr>
            <w:cnfStyle w:val="001000000000" w:firstRow="0" w:lastRow="0" w:firstColumn="1" w:lastColumn="0" w:oddVBand="0" w:evenVBand="0" w:oddHBand="0" w:evenHBand="0" w:firstRowFirstColumn="0" w:firstRowLastColumn="0" w:lastRowFirstColumn="0" w:lastRowLastColumn="0"/>
            <w:tcW w:w="50" w:type="pct"/>
            <w:tcMar>
              <w:top w:w="11" w:type="dxa"/>
              <w:left w:w="85" w:type="dxa"/>
              <w:bottom w:w="6" w:type="dxa"/>
              <w:right w:w="85" w:type="dxa"/>
            </w:tcMar>
          </w:tcPr>
          <w:p w:rsidR="00954D08" w:rsidRDefault="009A60DE">
            <w:pPr>
              <w:rPr>
                <w:sz w:val="15"/>
                <w:szCs w:val="15"/>
              </w:rPr>
            </w:pPr>
            <w:r>
              <w:rPr>
                <w:sz w:val="15"/>
                <w:szCs w:val="15"/>
              </w:rPr>
              <w:t>854</w:t>
            </w:r>
          </w:p>
        </w:tc>
        <w:tc>
          <w:tcPr>
            <w:tcW w:w="150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Edukacyjna opieka wychowawcza</w:t>
            </w:r>
          </w:p>
        </w:tc>
        <w:tc>
          <w:tcPr>
            <w:tcW w:w="90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51 600,00</w:t>
            </w:r>
          </w:p>
        </w:tc>
        <w:tc>
          <w:tcPr>
            <w:tcW w:w="90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133 176,00</w:t>
            </w:r>
          </w:p>
        </w:tc>
        <w:tc>
          <w:tcPr>
            <w:tcW w:w="90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95 033,85</w:t>
            </w:r>
          </w:p>
        </w:tc>
        <w:tc>
          <w:tcPr>
            <w:tcW w:w="75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71,36%</w:t>
            </w:r>
          </w:p>
        </w:tc>
        <w:tc>
          <w:tcPr>
            <w:tcW w:w="25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0,13%</w:t>
            </w:r>
          </w:p>
        </w:tc>
      </w:tr>
      <w:tr w:rsidR="00954D08" w:rsidTr="00954D08">
        <w:tc>
          <w:tcPr>
            <w:cnfStyle w:val="001000000000" w:firstRow="0" w:lastRow="0" w:firstColumn="1" w:lastColumn="0" w:oddVBand="0" w:evenVBand="0" w:oddHBand="0" w:evenHBand="0" w:firstRowFirstColumn="0" w:firstRowLastColumn="0" w:lastRowFirstColumn="0" w:lastRowLastColumn="0"/>
            <w:tcW w:w="50" w:type="pct"/>
            <w:tcMar>
              <w:top w:w="11" w:type="dxa"/>
              <w:left w:w="85" w:type="dxa"/>
              <w:bottom w:w="6" w:type="dxa"/>
              <w:right w:w="85" w:type="dxa"/>
            </w:tcMar>
          </w:tcPr>
          <w:p w:rsidR="00954D08" w:rsidRDefault="009A60DE">
            <w:pPr>
              <w:rPr>
                <w:sz w:val="15"/>
                <w:szCs w:val="15"/>
              </w:rPr>
            </w:pPr>
            <w:r>
              <w:rPr>
                <w:sz w:val="15"/>
                <w:szCs w:val="15"/>
              </w:rPr>
              <w:t>710</w:t>
            </w:r>
          </w:p>
        </w:tc>
        <w:tc>
          <w:tcPr>
            <w:tcW w:w="150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Działalność usługowa</w:t>
            </w:r>
          </w:p>
        </w:tc>
        <w:tc>
          <w:tcPr>
            <w:tcW w:w="90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35 000,00</w:t>
            </w:r>
          </w:p>
        </w:tc>
        <w:tc>
          <w:tcPr>
            <w:tcW w:w="90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99 507,50</w:t>
            </w:r>
          </w:p>
        </w:tc>
        <w:tc>
          <w:tcPr>
            <w:tcW w:w="90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87 620,25</w:t>
            </w:r>
          </w:p>
        </w:tc>
        <w:tc>
          <w:tcPr>
            <w:tcW w:w="75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88,05%</w:t>
            </w:r>
          </w:p>
        </w:tc>
        <w:tc>
          <w:tcPr>
            <w:tcW w:w="25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0,12%</w:t>
            </w:r>
          </w:p>
        </w:tc>
      </w:tr>
      <w:tr w:rsidR="00954D08" w:rsidTr="00954D08">
        <w:tc>
          <w:tcPr>
            <w:cnfStyle w:val="001000000000" w:firstRow="0" w:lastRow="0" w:firstColumn="1" w:lastColumn="0" w:oddVBand="0" w:evenVBand="0" w:oddHBand="0" w:evenHBand="0" w:firstRowFirstColumn="0" w:firstRowLastColumn="0" w:lastRowFirstColumn="0" w:lastRowLastColumn="0"/>
            <w:tcW w:w="50" w:type="pct"/>
            <w:tcMar>
              <w:top w:w="11" w:type="dxa"/>
              <w:left w:w="85" w:type="dxa"/>
              <w:bottom w:w="6" w:type="dxa"/>
              <w:right w:w="85" w:type="dxa"/>
            </w:tcMar>
          </w:tcPr>
          <w:p w:rsidR="00954D08" w:rsidRDefault="009A60DE">
            <w:pPr>
              <w:rPr>
                <w:sz w:val="15"/>
                <w:szCs w:val="15"/>
              </w:rPr>
            </w:pPr>
            <w:r>
              <w:rPr>
                <w:sz w:val="15"/>
                <w:szCs w:val="15"/>
              </w:rPr>
              <w:t>758</w:t>
            </w:r>
          </w:p>
        </w:tc>
        <w:tc>
          <w:tcPr>
            <w:tcW w:w="150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Różne rozliczenia</w:t>
            </w:r>
          </w:p>
        </w:tc>
        <w:tc>
          <w:tcPr>
            <w:tcW w:w="90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440 000,00</w:t>
            </w:r>
          </w:p>
        </w:tc>
        <w:tc>
          <w:tcPr>
            <w:tcW w:w="90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435 000,00</w:t>
            </w:r>
          </w:p>
        </w:tc>
        <w:tc>
          <w:tcPr>
            <w:tcW w:w="90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20 704,42</w:t>
            </w:r>
          </w:p>
        </w:tc>
        <w:tc>
          <w:tcPr>
            <w:tcW w:w="75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4,76%</w:t>
            </w:r>
          </w:p>
        </w:tc>
        <w:tc>
          <w:tcPr>
            <w:tcW w:w="25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0,03%</w:t>
            </w:r>
          </w:p>
        </w:tc>
      </w:tr>
      <w:tr w:rsidR="00954D08" w:rsidTr="00954D08">
        <w:tc>
          <w:tcPr>
            <w:cnfStyle w:val="001000000000" w:firstRow="0" w:lastRow="0" w:firstColumn="1" w:lastColumn="0" w:oddVBand="0" w:evenVBand="0" w:oddHBand="0" w:evenHBand="0" w:firstRowFirstColumn="0" w:firstRowLastColumn="0" w:lastRowFirstColumn="0" w:lastRowLastColumn="0"/>
            <w:tcW w:w="50" w:type="pct"/>
            <w:tcMar>
              <w:top w:w="11" w:type="dxa"/>
              <w:left w:w="85" w:type="dxa"/>
              <w:bottom w:w="6" w:type="dxa"/>
              <w:right w:w="85" w:type="dxa"/>
            </w:tcMar>
          </w:tcPr>
          <w:p w:rsidR="00954D08" w:rsidRDefault="009A60DE">
            <w:pPr>
              <w:rPr>
                <w:sz w:val="15"/>
                <w:szCs w:val="15"/>
              </w:rPr>
            </w:pPr>
            <w:r>
              <w:rPr>
                <w:sz w:val="15"/>
                <w:szCs w:val="15"/>
              </w:rPr>
              <w:t>853</w:t>
            </w:r>
          </w:p>
        </w:tc>
        <w:tc>
          <w:tcPr>
            <w:tcW w:w="150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Pozostałe zadania w zakresie polityki społecznej</w:t>
            </w:r>
          </w:p>
        </w:tc>
        <w:tc>
          <w:tcPr>
            <w:tcW w:w="90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0,00</w:t>
            </w:r>
          </w:p>
        </w:tc>
        <w:tc>
          <w:tcPr>
            <w:tcW w:w="90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19 220,00</w:t>
            </w:r>
          </w:p>
        </w:tc>
        <w:tc>
          <w:tcPr>
            <w:tcW w:w="90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17 535,49</w:t>
            </w:r>
          </w:p>
        </w:tc>
        <w:tc>
          <w:tcPr>
            <w:tcW w:w="75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91,24%</w:t>
            </w:r>
          </w:p>
        </w:tc>
        <w:tc>
          <w:tcPr>
            <w:tcW w:w="25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0,02%</w:t>
            </w:r>
          </w:p>
        </w:tc>
      </w:tr>
      <w:tr w:rsidR="00954D08" w:rsidTr="00954D08">
        <w:tc>
          <w:tcPr>
            <w:cnfStyle w:val="001000000000" w:firstRow="0" w:lastRow="0" w:firstColumn="1" w:lastColumn="0" w:oddVBand="0" w:evenVBand="0" w:oddHBand="0" w:evenHBand="0" w:firstRowFirstColumn="0" w:firstRowLastColumn="0" w:lastRowFirstColumn="0" w:lastRowLastColumn="0"/>
            <w:tcW w:w="50" w:type="pct"/>
            <w:tcMar>
              <w:top w:w="11" w:type="dxa"/>
              <w:left w:w="85" w:type="dxa"/>
              <w:bottom w:w="6" w:type="dxa"/>
              <w:right w:w="85" w:type="dxa"/>
            </w:tcMar>
          </w:tcPr>
          <w:p w:rsidR="00954D08" w:rsidRDefault="009A60DE">
            <w:pPr>
              <w:rPr>
                <w:sz w:val="15"/>
                <w:szCs w:val="15"/>
              </w:rPr>
            </w:pPr>
            <w:r>
              <w:rPr>
                <w:sz w:val="15"/>
                <w:szCs w:val="15"/>
              </w:rPr>
              <w:t>730</w:t>
            </w:r>
          </w:p>
        </w:tc>
        <w:tc>
          <w:tcPr>
            <w:tcW w:w="150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Szkolnictwo wyższe i nauka</w:t>
            </w:r>
          </w:p>
        </w:tc>
        <w:tc>
          <w:tcPr>
            <w:tcW w:w="90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0,00</w:t>
            </w:r>
          </w:p>
        </w:tc>
        <w:tc>
          <w:tcPr>
            <w:tcW w:w="90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9 736,00</w:t>
            </w:r>
          </w:p>
        </w:tc>
        <w:tc>
          <w:tcPr>
            <w:tcW w:w="90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9 736,00</w:t>
            </w:r>
          </w:p>
        </w:tc>
        <w:tc>
          <w:tcPr>
            <w:tcW w:w="75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100,00%</w:t>
            </w:r>
          </w:p>
        </w:tc>
        <w:tc>
          <w:tcPr>
            <w:tcW w:w="250" w:type="pct"/>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sz w:val="15"/>
                <w:szCs w:val="15"/>
              </w:rPr>
            </w:pPr>
            <w:r>
              <w:rPr>
                <w:sz w:val="15"/>
                <w:szCs w:val="15"/>
              </w:rPr>
              <w:t>0,01%</w:t>
            </w:r>
          </w:p>
        </w:tc>
      </w:tr>
      <w:tr w:rsidR="00954D08" w:rsidTr="00954D08">
        <w:tc>
          <w:tcPr>
            <w:cnfStyle w:val="001000000000" w:firstRow="0" w:lastRow="0" w:firstColumn="1" w:lastColumn="0" w:oddVBand="0" w:evenVBand="0" w:oddHBand="0" w:evenHBand="0" w:firstRowFirstColumn="0" w:firstRowLastColumn="0" w:lastRowFirstColumn="0" w:lastRowLastColumn="0"/>
            <w:tcW w:w="50" w:type="pct"/>
            <w:shd w:val="clear" w:color="auto" w:fill="auto"/>
            <w:tcMar>
              <w:top w:w="11" w:type="dxa"/>
              <w:left w:w="85" w:type="dxa"/>
              <w:bottom w:w="6" w:type="dxa"/>
              <w:right w:w="85" w:type="dxa"/>
            </w:tcMar>
          </w:tcPr>
          <w:p w:rsidR="00954D08" w:rsidRDefault="00954D08">
            <w:pPr>
              <w:rPr>
                <w:b/>
                <w:bCs/>
                <w:color w:val="000000"/>
                <w:sz w:val="15"/>
                <w:szCs w:val="15"/>
              </w:rPr>
            </w:pPr>
          </w:p>
        </w:tc>
        <w:tc>
          <w:tcPr>
            <w:tcW w:w="1500" w:type="pct"/>
            <w:shd w:val="clear" w:color="auto" w:fill="auto"/>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b/>
                <w:bCs/>
                <w:color w:val="000000"/>
                <w:sz w:val="15"/>
                <w:szCs w:val="15"/>
              </w:rPr>
            </w:pPr>
            <w:r>
              <w:rPr>
                <w:b/>
                <w:bCs/>
                <w:color w:val="000000"/>
                <w:sz w:val="15"/>
                <w:szCs w:val="15"/>
              </w:rPr>
              <w:t>RAZEM WYDATKI OGÓŁEM</w:t>
            </w:r>
          </w:p>
        </w:tc>
        <w:tc>
          <w:tcPr>
            <w:tcW w:w="900" w:type="pct"/>
            <w:shd w:val="clear" w:color="auto" w:fill="auto"/>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b/>
                <w:bCs/>
                <w:color w:val="000000"/>
                <w:sz w:val="15"/>
                <w:szCs w:val="15"/>
              </w:rPr>
            </w:pPr>
            <w:r>
              <w:rPr>
                <w:b/>
                <w:bCs/>
                <w:color w:val="000000"/>
                <w:sz w:val="15"/>
                <w:szCs w:val="15"/>
              </w:rPr>
              <w:t>68 365 129,99</w:t>
            </w:r>
          </w:p>
        </w:tc>
        <w:tc>
          <w:tcPr>
            <w:tcW w:w="900" w:type="pct"/>
            <w:shd w:val="clear" w:color="auto" w:fill="auto"/>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b/>
                <w:bCs/>
                <w:color w:val="000000"/>
                <w:sz w:val="15"/>
                <w:szCs w:val="15"/>
              </w:rPr>
            </w:pPr>
            <w:r>
              <w:rPr>
                <w:b/>
                <w:bCs/>
                <w:color w:val="000000"/>
                <w:sz w:val="15"/>
                <w:szCs w:val="15"/>
              </w:rPr>
              <w:t>79 084 734,45</w:t>
            </w:r>
          </w:p>
        </w:tc>
        <w:tc>
          <w:tcPr>
            <w:tcW w:w="900" w:type="pct"/>
            <w:shd w:val="clear" w:color="auto" w:fill="auto"/>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b/>
                <w:bCs/>
                <w:color w:val="000000"/>
                <w:sz w:val="15"/>
                <w:szCs w:val="15"/>
              </w:rPr>
            </w:pPr>
            <w:r>
              <w:rPr>
                <w:b/>
                <w:bCs/>
                <w:color w:val="000000"/>
                <w:sz w:val="15"/>
                <w:szCs w:val="15"/>
              </w:rPr>
              <w:t>72 663 453,67</w:t>
            </w:r>
          </w:p>
        </w:tc>
        <w:tc>
          <w:tcPr>
            <w:tcW w:w="750" w:type="pct"/>
            <w:shd w:val="clear" w:color="auto" w:fill="auto"/>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b/>
                <w:bCs/>
                <w:color w:val="000000"/>
                <w:sz w:val="15"/>
                <w:szCs w:val="15"/>
              </w:rPr>
            </w:pPr>
            <w:r>
              <w:rPr>
                <w:b/>
                <w:bCs/>
                <w:color w:val="000000"/>
                <w:sz w:val="15"/>
                <w:szCs w:val="15"/>
              </w:rPr>
              <w:t>91,88%</w:t>
            </w:r>
          </w:p>
        </w:tc>
        <w:tc>
          <w:tcPr>
            <w:tcW w:w="250" w:type="pct"/>
            <w:shd w:val="clear" w:color="auto" w:fill="auto"/>
            <w:tcMar>
              <w:top w:w="11" w:type="dxa"/>
              <w:left w:w="85" w:type="dxa"/>
              <w:bottom w:w="6" w:type="dxa"/>
              <w:right w:w="85" w:type="dxa"/>
            </w:tcMar>
          </w:tcPr>
          <w:p w:rsidR="00954D08" w:rsidRDefault="009A60DE">
            <w:pPr>
              <w:cnfStyle w:val="000000000000" w:firstRow="0" w:lastRow="0" w:firstColumn="0" w:lastColumn="0" w:oddVBand="0" w:evenVBand="0" w:oddHBand="0" w:evenHBand="0" w:firstRowFirstColumn="0" w:firstRowLastColumn="0" w:lastRowFirstColumn="0" w:lastRowLastColumn="0"/>
              <w:rPr>
                <w:b/>
                <w:bCs/>
                <w:color w:val="000000"/>
                <w:sz w:val="15"/>
                <w:szCs w:val="15"/>
              </w:rPr>
            </w:pPr>
            <w:r>
              <w:rPr>
                <w:b/>
                <w:bCs/>
                <w:color w:val="000000"/>
                <w:sz w:val="15"/>
                <w:szCs w:val="15"/>
              </w:rPr>
              <w:t>100,00%</w:t>
            </w:r>
          </w:p>
        </w:tc>
      </w:tr>
    </w:tbl>
    <w:p w:rsidR="00954D08" w:rsidRDefault="00954D08">
      <w:pPr>
        <w:jc w:val="both"/>
      </w:pPr>
    </w:p>
    <w:p w:rsidR="00954D08" w:rsidRDefault="009A60DE">
      <w:pPr>
        <w:jc w:val="both"/>
      </w:pPr>
      <w:r>
        <w:lastRenderedPageBreak/>
        <w:t>Podział wydatków wg rodzajów przedstawia się następująco:</w:t>
      </w:r>
    </w:p>
    <w:p w:rsidR="00954D08" w:rsidRDefault="009A60DE">
      <w:pPr>
        <w:pStyle w:val="Akapitzlist"/>
        <w:numPr>
          <w:ilvl w:val="0"/>
          <w:numId w:val="31"/>
        </w:numPr>
        <w:jc w:val="both"/>
      </w:pPr>
      <w:r>
        <w:t>wydatki bieżące zostały wykonane na poziomie 55 638 189,19 zł, tj. w 90,14% w stosunku do planu po zmianach wynoszącego 61 725 850,18 zł, z tego:</w:t>
      </w:r>
    </w:p>
    <w:p w:rsidR="00954D08" w:rsidRDefault="009A60DE">
      <w:pPr>
        <w:pStyle w:val="Akapitzlist"/>
        <w:numPr>
          <w:ilvl w:val="1"/>
          <w:numId w:val="31"/>
        </w:numPr>
        <w:jc w:val="both"/>
      </w:pPr>
      <w:r>
        <w:t>wynagrodzenia i składki od nich naliczane – 28 423 184,93 zł, tj. 92,38% planu wynoszącego 30 766 781,46 zł, z tego: wynagrodzenia osobowe nauczycieli 13 010 201,61 zł, wynagrodzenia osobowe pracowników 8 762 998,61 zł, składki na ubezpieczenia społeczne 4 375 611,66 zł, dodatkowe wynagrodzenie roczne nauczycieli 756 055,67 zł, dodatkowe wynagrodzenie roczne 564 185,51 zł, składki na Fundusz Pracy oraz Fundusz Solidarnościowy 418 474,16 zł, wynagrodzenia bezosobowe 299 700,20 zł, wynagrodzenia nauczycieli wypłacane w związku z pomocą obywatelom Ukrainy 97 076,27 zł, wpłaty na PPK finansowane przez podmiot zatrudniający 72 294,77 zł, wynagrodzenia agencyjno-prowizyjne 32 797,00 zł, składki i inne pochodne od wynagrodzeń pracowników wypłacanych w związku z pomocą obywatelom Ukrainy 18 654,93 zł, honoraria 10 618,25 zł, składki na Fundusz Emerytur Pomostowych 4 516,29 zł;</w:t>
      </w:r>
    </w:p>
    <w:p w:rsidR="00954D08" w:rsidRDefault="009A60DE">
      <w:pPr>
        <w:pStyle w:val="Akapitzlist"/>
        <w:numPr>
          <w:ilvl w:val="1"/>
          <w:numId w:val="31"/>
        </w:numPr>
        <w:jc w:val="both"/>
      </w:pPr>
      <w:r>
        <w:t>świadczenia na rzecz osób fizycznych – 8 350 124,22 zł, tj. 94,83% planu wynoszącego 8 805 129,46 zł, z tego: świadczenia społeczne 6 665 204,74 zł, wydatki osobowe niezaliczone do wynagrodzeń 878 038,27 zł, różne wydatki na rzecz osób fizycznych  667 361,28 zł, stypendia dla uczniów 95 033,85 zł, świadczenia społeczne wypłacane obywatelom Ukrainy przebywającym na terytorium RP 40 886,08 zł, nagrody o charakterze szczególnym niezaliczone do wynagrodzeń 3 600,00 zł;</w:t>
      </w:r>
    </w:p>
    <w:p w:rsidR="00954D08" w:rsidRDefault="009A60DE">
      <w:pPr>
        <w:pStyle w:val="Akapitzlist"/>
        <w:numPr>
          <w:ilvl w:val="1"/>
          <w:numId w:val="31"/>
        </w:numPr>
        <w:jc w:val="both"/>
      </w:pPr>
      <w:r>
        <w:t>dotacje – 1 234 825,38 zł, tj. 90,91% planu wynoszącego 1 358 285,20 zł,</w:t>
      </w:r>
    </w:p>
    <w:p w:rsidR="00954D08" w:rsidRDefault="009A60DE">
      <w:pPr>
        <w:pStyle w:val="Akapitzlist"/>
        <w:numPr>
          <w:ilvl w:val="1"/>
          <w:numId w:val="31"/>
        </w:numPr>
        <w:jc w:val="both"/>
      </w:pPr>
      <w:r>
        <w:t>wydatki na programy finansowane z udziałem środków, o których mowa w art. 5 ust. 1 pkt 2, 3 – 0,00 zł, tj. 0,00% planu wynoszącego 46 426,30 zł,</w:t>
      </w:r>
    </w:p>
    <w:p w:rsidR="00954D08" w:rsidRDefault="009A60DE">
      <w:pPr>
        <w:pStyle w:val="Akapitzlist"/>
        <w:numPr>
          <w:ilvl w:val="1"/>
          <w:numId w:val="31"/>
        </w:numPr>
        <w:jc w:val="both"/>
      </w:pPr>
      <w:r>
        <w:t>wydatki na obsługę długu publicznego – 282 783,26 zł, tj. 86,21% planu wynoszącego 328 000,00 zł,</w:t>
      </w:r>
    </w:p>
    <w:p w:rsidR="00954D08" w:rsidRDefault="009A60DE">
      <w:pPr>
        <w:pStyle w:val="Akapitzlist"/>
        <w:numPr>
          <w:ilvl w:val="1"/>
          <w:numId w:val="31"/>
        </w:numPr>
        <w:jc w:val="both"/>
      </w:pPr>
      <w:r>
        <w:t>pozostałe wydatki bieżące – 17 347 271,40 zł, tj. 84,95% planu wynoszącego 20 421 227,76 zł, z tego: zakup usług pozostałych 6 848 429,85 zł, zakup energii 2 791 188,69 zł, zakup materiałów i wyposażenia 1 671 749,83 zł, zakup usług remontowych 1 324 308,56 zł, różne opłaty i składki 1 219 027,06 zł, odpisy na zakładowy fundusz świadczeń socjalnych 1 132 067,49 zł, zakup usług przez jednostki samorządu terytorialnego od innych jednostek samorządu terytorialnego 626 677,12 zł, zakup środków żywności 543 525,54 zł, opłaty na rzecz budżetów jednostek samorządu terytorialnego 269 015,82 zł, szkolenia pracowników niebędących członkami korpusu służby cywilnej  177 065,03 zł, zakup środków dydaktycznych i książek 164 060,07 zł, składki na ubezpieczenie zdrowotne 105 814,28 zł, kary i odszkodowania wypłacane na rzecz osób fizycznych 63 022,70 zł, opłaty z tytułu zakupu usług telekomunikacyjnych 55 956,94 zł, zakup usług obejmujących wykonanie ekspertyz, analiz i opinii 49 198,75 zł, podróże służbowe krajowe 48 431,24 zł, wpłaty na Państwowy Fundusz Rehabilitacji Osób Niepełnosprawnych 48 223,00 zł, nagrody konkursowe 43 848,28 zł, zwrot dotacji oraz płatności wykorzystanych niezgodnie z przeznaczeniem lub wykorzystanych z naruszeniem procedur, o których mowa w art. 184 ustawy, pobranych nienależnie lub w nadmiernej wysokości 43 844,29 zł, zakup towarów (w szczególności materiałów, leków, żywności) w związku z pomocą obywatelom Ukrainy 41 104,49 zł, zakup usług zdrowotnych 24 918,00 zł, podatek od towarów i usług (VAT). 20 704,42 zł, pozostałe wydatki bieżące na zadania związane z pomocą obywatelom Ukrainy 13 094,64 zł, koszty postępowania sądowego i prokuratorskiego 7 539,96 zł, wpłaty gmin na rzecz izb rolniczych w wysokości 2% uzyskanych wpływów z podatku rolnego 7 200,10 zł, podatek od nieruchomości 4 036,00 zł, odsetki od dotacji oraz płatności: wykorzystanych niezgodnie z przeznaczeniem lub wykorzystanych z naruszeniem procedur, o których mowa w art. 184 ustawy, pobranych nienależnie lub  w nadmiernej wysokości 2 455,25 zł, pozostałe podatki na rzecz budżetów jednostek samorządu terytorialnego 604,00 zł, opłaty na rzecz budżetu państwa 160,00 zł;</w:t>
      </w:r>
    </w:p>
    <w:p w:rsidR="00954D08" w:rsidRDefault="009A60DE">
      <w:pPr>
        <w:pStyle w:val="Akapitzlist"/>
        <w:numPr>
          <w:ilvl w:val="0"/>
          <w:numId w:val="31"/>
        </w:numPr>
        <w:jc w:val="both"/>
      </w:pPr>
      <w:r>
        <w:t>wydatki majątkowe zostały wykonane na poziomie 17 025 264,48 zł, tj. w 98,08% w stosunku do planu po zmianach wynoszącego 17 358 884,27 zł, z tego:</w:t>
      </w:r>
    </w:p>
    <w:p w:rsidR="00954D08" w:rsidRDefault="009A60DE">
      <w:pPr>
        <w:pStyle w:val="Akapitzlist"/>
        <w:numPr>
          <w:ilvl w:val="1"/>
          <w:numId w:val="31"/>
        </w:numPr>
        <w:jc w:val="both"/>
      </w:pPr>
      <w:r>
        <w:t>wydatki inwestycyjne i zakupy inwestycyjne – 16 927 264,48 zł, tj. 98,07% planu wynoszącego 17 260 884,27 zł,</w:t>
      </w:r>
    </w:p>
    <w:p w:rsidR="00954D08" w:rsidRDefault="009A60DE">
      <w:pPr>
        <w:pStyle w:val="Akapitzlist"/>
        <w:numPr>
          <w:ilvl w:val="1"/>
          <w:numId w:val="31"/>
        </w:numPr>
        <w:jc w:val="both"/>
      </w:pPr>
      <w:r>
        <w:t>pozostałe wydatki majątkowe – 98 000,00 zł, tj. 100,00% planu wynoszącego 98 000,00 zł,</w:t>
      </w:r>
    </w:p>
    <w:p w:rsidR="00954D08" w:rsidRDefault="009A60DE">
      <w:pPr>
        <w:pStyle w:val="SmallSubtitle"/>
      </w:pPr>
      <w:r>
        <w:t>Przychody i rozchody</w:t>
      </w:r>
    </w:p>
    <w:p w:rsidR="00954D08" w:rsidRDefault="009A60DE">
      <w:pPr>
        <w:jc w:val="both"/>
      </w:pPr>
      <w:r>
        <w:t xml:space="preserve">Przychody w 2024 roku zrealizowano w łącznej kwocie </w:t>
      </w:r>
      <w:r w:rsidR="002C1E18">
        <w:t>20 529 505,59</w:t>
      </w:r>
      <w:r>
        <w:t xml:space="preserve"> zł, (co stanowi </w:t>
      </w:r>
      <w:r w:rsidR="002C1E18">
        <w:t>140,80</w:t>
      </w:r>
      <w:r>
        <w:t>% planu), w tym:</w:t>
      </w:r>
    </w:p>
    <w:p w:rsidR="00954D08" w:rsidRDefault="009A60DE">
      <w:pPr>
        <w:pStyle w:val="Akapitzlist"/>
        <w:numPr>
          <w:ilvl w:val="0"/>
          <w:numId w:val="32"/>
        </w:numPr>
        <w:jc w:val="both"/>
      </w:pPr>
      <w:r>
        <w:t xml:space="preserve">spłata udzielonych pożyczek – </w:t>
      </w:r>
      <w:r w:rsidR="002C1E18">
        <w:t>155 486,00</w:t>
      </w:r>
      <w:r>
        <w:t xml:space="preserve"> zł;</w:t>
      </w:r>
    </w:p>
    <w:p w:rsidR="00954D08" w:rsidRDefault="009A60DE">
      <w:pPr>
        <w:pStyle w:val="Akapitzlist"/>
        <w:numPr>
          <w:ilvl w:val="0"/>
          <w:numId w:val="32"/>
        </w:numPr>
        <w:jc w:val="both"/>
      </w:pPr>
      <w:r>
        <w:t xml:space="preserve">nadwyżka z lat ubiegłych, pomniejszona o niewykorzystane środki pieniężne, o których mowa w art. 217 ust. 2 pkt. 8 ustawy o finansach publicznych – </w:t>
      </w:r>
      <w:r w:rsidR="000006A8">
        <w:t>11 450 200,36</w:t>
      </w:r>
      <w:r>
        <w:t xml:space="preserve"> zł;</w:t>
      </w:r>
    </w:p>
    <w:p w:rsidR="00954D08" w:rsidRDefault="009A60DE" w:rsidP="000006A8">
      <w:pPr>
        <w:pStyle w:val="Akapitzlist"/>
        <w:numPr>
          <w:ilvl w:val="0"/>
          <w:numId w:val="32"/>
        </w:numPr>
        <w:jc w:val="both"/>
      </w:pPr>
      <w:r>
        <w:lastRenderedPageBreak/>
        <w:t xml:space="preserve">niewykorzystane środki pieniężne, o których mowa w art. 217 ust. 2 pkt 8 ustawy o finansach publicznych – </w:t>
      </w:r>
      <w:r w:rsidR="000006A8">
        <w:t xml:space="preserve">2 661 867,23 </w:t>
      </w:r>
      <w:r>
        <w:t>zł;</w:t>
      </w:r>
    </w:p>
    <w:p w:rsidR="00954D08" w:rsidRDefault="009A60DE">
      <w:pPr>
        <w:pStyle w:val="Akapitzlist"/>
        <w:numPr>
          <w:ilvl w:val="0"/>
          <w:numId w:val="32"/>
        </w:numPr>
        <w:jc w:val="both"/>
      </w:pPr>
      <w:r>
        <w:t xml:space="preserve">wolne środki, o których mowa w art. 217 ust. 2 pkt 6 ustawy o finansach publicznych – </w:t>
      </w:r>
      <w:r w:rsidR="000006A8">
        <w:t>3 964 514,00</w:t>
      </w:r>
      <w:r>
        <w:t xml:space="preserve"> zł;</w:t>
      </w:r>
    </w:p>
    <w:p w:rsidR="00954D08" w:rsidRDefault="009A60DE">
      <w:pPr>
        <w:pStyle w:val="Akapitzlist"/>
        <w:numPr>
          <w:ilvl w:val="0"/>
          <w:numId w:val="32"/>
        </w:numPr>
        <w:jc w:val="both"/>
      </w:pPr>
      <w:r>
        <w:t xml:space="preserve">inne źródła – </w:t>
      </w:r>
      <w:r w:rsidR="000006A8">
        <w:t>2 297 438,00</w:t>
      </w:r>
      <w:r>
        <w:t xml:space="preserve"> zł.</w:t>
      </w:r>
    </w:p>
    <w:p w:rsidR="00954D08" w:rsidRDefault="009A60DE">
      <w:pPr>
        <w:jc w:val="both"/>
      </w:pPr>
      <w:r>
        <w:t xml:space="preserve">Rozchody w 2024 roku zrealizowano w łącznej kwocie </w:t>
      </w:r>
      <w:r w:rsidR="000006A8">
        <w:t>7 785 702,00</w:t>
      </w:r>
      <w:r>
        <w:t xml:space="preserve"> zł (co stanowi </w:t>
      </w:r>
      <w:r w:rsidR="000006A8">
        <w:t>97,47</w:t>
      </w:r>
      <w:r>
        <w:t>% planu), w tym:</w:t>
      </w:r>
    </w:p>
    <w:p w:rsidR="00954D08" w:rsidRDefault="009A60DE">
      <w:pPr>
        <w:pStyle w:val="Akapitzlist"/>
        <w:numPr>
          <w:ilvl w:val="0"/>
          <w:numId w:val="33"/>
        </w:numPr>
        <w:jc w:val="both"/>
      </w:pPr>
      <w:r>
        <w:t xml:space="preserve">Udzielone pożyczki – </w:t>
      </w:r>
      <w:r w:rsidR="000006A8">
        <w:t>93 318,00</w:t>
      </w:r>
      <w:r>
        <w:t xml:space="preserve"> zł;</w:t>
      </w:r>
    </w:p>
    <w:p w:rsidR="00954D08" w:rsidRDefault="009A60DE">
      <w:pPr>
        <w:pStyle w:val="Akapitzlist"/>
        <w:numPr>
          <w:ilvl w:val="0"/>
          <w:numId w:val="33"/>
        </w:numPr>
        <w:jc w:val="both"/>
      </w:pPr>
      <w:r>
        <w:t xml:space="preserve">Inne cele – </w:t>
      </w:r>
      <w:r w:rsidR="000006A8">
        <w:t>7 692 384,00</w:t>
      </w:r>
      <w:r>
        <w:t xml:space="preserve"> zł.</w:t>
      </w:r>
    </w:p>
    <w:sectPr w:rsidR="00954D08">
      <w:footerReference w:type="even" r:id="rId8"/>
      <w:footerReference w:type="default" r:id="rId9"/>
      <w:footerReference w:type="first" r:id="rId10"/>
      <w:pgSz w:w="11906" w:h="16838"/>
      <w:pgMar w:top="992" w:right="1021" w:bottom="992" w:left="1021" w:header="709" w:footer="567" w:gutter="0"/>
      <w:cols w:space="708"/>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45C71" w:rsidRDefault="00D45C71">
      <w:pPr>
        <w:spacing w:after="0" w:line="240" w:lineRule="auto"/>
      </w:pPr>
      <w:r>
        <w:separator/>
      </w:r>
    </w:p>
  </w:endnote>
  <w:endnote w:type="continuationSeparator" w:id="0">
    <w:p w:rsidR="00D45C71" w:rsidRDefault="00D45C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7662596"/>
      <w:docPartObj>
        <w:docPartGallery w:val="Page Numbers (Bottom of Page)"/>
        <w:docPartUnique/>
      </w:docPartObj>
    </w:sdtPr>
    <w:sdtEndPr/>
    <w:sdtContent>
      <w:p w:rsidR="00954D08" w:rsidRDefault="009A60DE">
        <w:pPr>
          <w:pStyle w:val="Stopka"/>
          <w:jc w:val="center"/>
        </w:pPr>
        <w:r>
          <w:fldChar w:fldCharType="begin"/>
        </w:r>
        <w:r>
          <w:instrText>PAGE   \* MERGEFORMAT</w:instrText>
        </w:r>
        <w:r>
          <w:fldChar w:fldCharType="separate"/>
        </w:r>
        <w:r w:rsidR="008F5FB9">
          <w:rPr>
            <w:noProof/>
          </w:rPr>
          <w:t>6</w:t>
        </w:r>
        <w: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21368985"/>
      <w:docPartObj>
        <w:docPartGallery w:val="Page Numbers (Bottom of Page)"/>
        <w:docPartUnique/>
      </w:docPartObj>
    </w:sdtPr>
    <w:sdtEndPr/>
    <w:sdtContent>
      <w:p w:rsidR="00954D08" w:rsidRDefault="009A60DE">
        <w:pPr>
          <w:pStyle w:val="Stopka"/>
          <w:jc w:val="center"/>
        </w:pPr>
        <w:r>
          <w:fldChar w:fldCharType="begin"/>
        </w:r>
        <w:r>
          <w:instrText>PAGE   \* MERGEFORMAT</w:instrText>
        </w:r>
        <w:r>
          <w:fldChar w:fldCharType="separate"/>
        </w:r>
        <w:r w:rsidR="008F5FB9">
          <w:rPr>
            <w:noProof/>
          </w:rPr>
          <w:t>5</w:t>
        </w:r>
        <w:r>
          <w:fldChar w:fldCharType="end"/>
        </w:r>
      </w:p>
    </w:sdtContent>
  </w:sdt>
  <w:p w:rsidR="00954D08" w:rsidRDefault="00954D08">
    <w:pPr>
      <w:pStyle w:val="Stopka"/>
      <w:ind w:left="-567"/>
      <w:jc w:val="right"/>
      <w:rPr>
        <w:vanish/>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54D08" w:rsidRDefault="00954D08">
    <w:pPr>
      <w:pStyle w:val="Stopka"/>
      <w:ind w:left="-567"/>
      <w:rPr>
        <w:vanish/>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45C71" w:rsidRDefault="00D45C71">
      <w:pPr>
        <w:spacing w:after="0" w:line="240" w:lineRule="auto"/>
      </w:pPr>
      <w:r>
        <w:separator/>
      </w:r>
    </w:p>
  </w:footnote>
  <w:footnote w:type="continuationSeparator" w:id="0">
    <w:p w:rsidR="00D45C71" w:rsidRDefault="00D45C7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EF043F"/>
    <w:multiLevelType w:val="multilevel"/>
    <w:tmpl w:val="32101C16"/>
    <w:lvl w:ilvl="0">
      <w:start w:val="1"/>
      <w:numFmt w:val="bullet"/>
      <w:lvlText w:val="●"/>
      <w:lvlJc w:val="left"/>
      <w:pPr>
        <w:ind w:left="600" w:hanging="360"/>
      </w:pPr>
    </w:lvl>
    <w:lvl w:ilvl="1">
      <w:start w:val="1"/>
      <w:numFmt w:val="bullet"/>
      <w:lvlText w:val="○"/>
      <w:lvlJc w:val="left"/>
      <w:pPr>
        <w:ind w:left="1200" w:hanging="360"/>
      </w:pPr>
    </w:lvl>
    <w:lvl w:ilvl="2">
      <w:start w:val="1"/>
      <w:numFmt w:val="bullet"/>
      <w:lvlText w:val="⁃"/>
      <w:lvlJc w:val="left"/>
      <w:pPr>
        <w:ind w:left="1800" w:hanging="360"/>
      </w:pPr>
    </w:lvl>
    <w:lvl w:ilvl="3">
      <w:start w:val="1"/>
      <w:numFmt w:val="bullet"/>
      <w:lvlText w:val="%1."/>
      <w:lvlJc w:val="left"/>
    </w:lvl>
    <w:lvl w:ilvl="4">
      <w:start w:val="1"/>
      <w:numFmt w:val="bullet"/>
      <w:lvlText w:val="%1."/>
      <w:lvlJc w:val="left"/>
    </w:lvl>
    <w:lvl w:ilvl="5">
      <w:start w:val="1"/>
      <w:numFmt w:val="bullet"/>
      <w:lvlText w:val="%1."/>
      <w:lvlJc w:val="left"/>
    </w:lvl>
    <w:lvl w:ilvl="6">
      <w:start w:val="1"/>
      <w:numFmt w:val="bullet"/>
      <w:lvlText w:val="%1."/>
      <w:lvlJc w:val="left"/>
    </w:lvl>
    <w:lvl w:ilvl="7">
      <w:start w:val="1"/>
      <w:numFmt w:val="bullet"/>
      <w:lvlText w:val="%1."/>
      <w:lvlJc w:val="left"/>
    </w:lvl>
    <w:lvl w:ilvl="8">
      <w:start w:val="1"/>
      <w:numFmt w:val="bullet"/>
      <w:lvlText w:val="%1."/>
      <w:lvlJc w:val="left"/>
    </w:lvl>
  </w:abstractNum>
  <w:abstractNum w:abstractNumId="1" w15:restartNumberingAfterBreak="0">
    <w:nsid w:val="02AD676B"/>
    <w:multiLevelType w:val="multilevel"/>
    <w:tmpl w:val="3A22BAAE"/>
    <w:lvl w:ilvl="0">
      <w:start w:val="1"/>
      <w:numFmt w:val="decimal"/>
      <w:lvlText w:val="%1."/>
      <w:lvlJc w:val="left"/>
      <w:pPr>
        <w:ind w:left="1080" w:hanging="72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 w15:restartNumberingAfterBreak="0">
    <w:nsid w:val="033FBA06"/>
    <w:multiLevelType w:val="multilevel"/>
    <w:tmpl w:val="E9306712"/>
    <w:lvl w:ilvl="0">
      <w:start w:val="1"/>
      <w:numFmt w:val="bullet"/>
      <w:lvlText w:val="●"/>
      <w:lvlJc w:val="left"/>
      <w:pPr>
        <w:ind w:left="600" w:hanging="360"/>
      </w:pPr>
    </w:lvl>
    <w:lvl w:ilvl="1">
      <w:start w:val="1"/>
      <w:numFmt w:val="bullet"/>
      <w:lvlText w:val="○"/>
      <w:lvlJc w:val="left"/>
      <w:pPr>
        <w:ind w:left="1200" w:hanging="360"/>
      </w:pPr>
    </w:lvl>
    <w:lvl w:ilvl="2">
      <w:start w:val="1"/>
      <w:numFmt w:val="bullet"/>
      <w:lvlText w:val="⁃"/>
      <w:lvlJc w:val="left"/>
      <w:pPr>
        <w:ind w:left="1800" w:hanging="360"/>
      </w:pPr>
    </w:lvl>
    <w:lvl w:ilvl="3">
      <w:start w:val="1"/>
      <w:numFmt w:val="bullet"/>
      <w:lvlText w:val="%1."/>
      <w:lvlJc w:val="left"/>
    </w:lvl>
    <w:lvl w:ilvl="4">
      <w:start w:val="1"/>
      <w:numFmt w:val="bullet"/>
      <w:lvlText w:val="%1."/>
      <w:lvlJc w:val="left"/>
    </w:lvl>
    <w:lvl w:ilvl="5">
      <w:start w:val="1"/>
      <w:numFmt w:val="bullet"/>
      <w:lvlText w:val="%1."/>
      <w:lvlJc w:val="left"/>
    </w:lvl>
    <w:lvl w:ilvl="6">
      <w:start w:val="1"/>
      <w:numFmt w:val="bullet"/>
      <w:lvlText w:val="%1."/>
      <w:lvlJc w:val="left"/>
    </w:lvl>
    <w:lvl w:ilvl="7">
      <w:start w:val="1"/>
      <w:numFmt w:val="bullet"/>
      <w:lvlText w:val="%1."/>
      <w:lvlJc w:val="left"/>
    </w:lvl>
    <w:lvl w:ilvl="8">
      <w:start w:val="1"/>
      <w:numFmt w:val="bullet"/>
      <w:lvlText w:val="%1."/>
      <w:lvlJc w:val="left"/>
    </w:lvl>
  </w:abstractNum>
  <w:abstractNum w:abstractNumId="3" w15:restartNumberingAfterBreak="0">
    <w:nsid w:val="0B223B36"/>
    <w:multiLevelType w:val="hybridMultilevel"/>
    <w:tmpl w:val="209EA2DC"/>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 w15:restartNumberingAfterBreak="0">
    <w:nsid w:val="0E463F14"/>
    <w:multiLevelType w:val="multilevel"/>
    <w:tmpl w:val="988217BC"/>
    <w:lvl w:ilvl="0">
      <w:start w:val="1"/>
      <w:numFmt w:val="bullet"/>
      <w:lvlText w:val="●"/>
      <w:lvlJc w:val="left"/>
      <w:pPr>
        <w:ind w:left="600" w:hanging="360"/>
      </w:pPr>
    </w:lvl>
    <w:lvl w:ilvl="1">
      <w:start w:val="1"/>
      <w:numFmt w:val="bullet"/>
      <w:lvlText w:val="○"/>
      <w:lvlJc w:val="left"/>
      <w:pPr>
        <w:ind w:left="1200" w:hanging="360"/>
      </w:pPr>
    </w:lvl>
    <w:lvl w:ilvl="2">
      <w:start w:val="1"/>
      <w:numFmt w:val="bullet"/>
      <w:lvlText w:val="⁃"/>
      <w:lvlJc w:val="left"/>
      <w:pPr>
        <w:ind w:left="1800" w:hanging="360"/>
      </w:pPr>
    </w:lvl>
    <w:lvl w:ilvl="3">
      <w:start w:val="1"/>
      <w:numFmt w:val="bullet"/>
      <w:lvlText w:val="%1."/>
      <w:lvlJc w:val="left"/>
    </w:lvl>
    <w:lvl w:ilvl="4">
      <w:start w:val="1"/>
      <w:numFmt w:val="bullet"/>
      <w:lvlText w:val="%1."/>
      <w:lvlJc w:val="left"/>
    </w:lvl>
    <w:lvl w:ilvl="5">
      <w:start w:val="1"/>
      <w:numFmt w:val="bullet"/>
      <w:lvlText w:val="%1."/>
      <w:lvlJc w:val="left"/>
    </w:lvl>
    <w:lvl w:ilvl="6">
      <w:start w:val="1"/>
      <w:numFmt w:val="bullet"/>
      <w:lvlText w:val="%1."/>
      <w:lvlJc w:val="left"/>
    </w:lvl>
    <w:lvl w:ilvl="7">
      <w:start w:val="1"/>
      <w:numFmt w:val="bullet"/>
      <w:lvlText w:val="%1."/>
      <w:lvlJc w:val="left"/>
    </w:lvl>
    <w:lvl w:ilvl="8">
      <w:start w:val="1"/>
      <w:numFmt w:val="bullet"/>
      <w:lvlText w:val="%1."/>
      <w:lvlJc w:val="left"/>
    </w:lvl>
  </w:abstractNum>
  <w:abstractNum w:abstractNumId="5" w15:restartNumberingAfterBreak="0">
    <w:nsid w:val="12550B2D"/>
    <w:multiLevelType w:val="hybridMultilevel"/>
    <w:tmpl w:val="9DF0A32A"/>
    <w:lvl w:ilvl="0" w:tplc="33FCBDA2">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7083995"/>
    <w:multiLevelType w:val="hybridMultilevel"/>
    <w:tmpl w:val="8CCE534E"/>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7" w15:restartNumberingAfterBreak="0">
    <w:nsid w:val="17251982"/>
    <w:multiLevelType w:val="hybridMultilevel"/>
    <w:tmpl w:val="5762BAAE"/>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8" w15:restartNumberingAfterBreak="0">
    <w:nsid w:val="1793249D"/>
    <w:multiLevelType w:val="hybridMultilevel"/>
    <w:tmpl w:val="B5AC2D66"/>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9" w15:restartNumberingAfterBreak="0">
    <w:nsid w:val="18B17914"/>
    <w:multiLevelType w:val="multilevel"/>
    <w:tmpl w:val="C7F6C86C"/>
    <w:lvl w:ilvl="0">
      <w:start w:val="2"/>
      <w:numFmt w:val="decimal"/>
      <w:lvlText w:val="%1"/>
      <w:lvlJc w:val="left"/>
      <w:pPr>
        <w:ind w:left="525" w:hanging="525"/>
      </w:pPr>
      <w:rPr>
        <w:rFonts w:hint="default"/>
      </w:rPr>
    </w:lvl>
    <w:lvl w:ilvl="1">
      <w:start w:val="3"/>
      <w:numFmt w:val="decimal"/>
      <w:lvlText w:val="%1.%2"/>
      <w:lvlJc w:val="left"/>
      <w:pPr>
        <w:ind w:left="1065" w:hanging="525"/>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0" w15:restartNumberingAfterBreak="0">
    <w:nsid w:val="1B43031C"/>
    <w:multiLevelType w:val="hybridMultilevel"/>
    <w:tmpl w:val="7CA42EB4"/>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1" w15:restartNumberingAfterBreak="0">
    <w:nsid w:val="27483732"/>
    <w:multiLevelType w:val="hybridMultilevel"/>
    <w:tmpl w:val="BF969544"/>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2" w15:restartNumberingAfterBreak="0">
    <w:nsid w:val="2DF0C828"/>
    <w:multiLevelType w:val="multilevel"/>
    <w:tmpl w:val="DDA0F404"/>
    <w:lvl w:ilvl="0">
      <w:start w:val="1"/>
      <w:numFmt w:val="bullet"/>
      <w:lvlText w:val="●"/>
      <w:lvlJc w:val="left"/>
      <w:pPr>
        <w:ind w:left="600" w:hanging="360"/>
      </w:pPr>
    </w:lvl>
    <w:lvl w:ilvl="1">
      <w:start w:val="1"/>
      <w:numFmt w:val="bullet"/>
      <w:lvlText w:val="○"/>
      <w:lvlJc w:val="left"/>
      <w:pPr>
        <w:ind w:left="1200" w:hanging="360"/>
      </w:pPr>
    </w:lvl>
    <w:lvl w:ilvl="2">
      <w:start w:val="1"/>
      <w:numFmt w:val="bullet"/>
      <w:lvlText w:val="⁃"/>
      <w:lvlJc w:val="left"/>
      <w:pPr>
        <w:ind w:left="1800" w:hanging="360"/>
      </w:pPr>
    </w:lvl>
    <w:lvl w:ilvl="3">
      <w:start w:val="1"/>
      <w:numFmt w:val="bullet"/>
      <w:lvlText w:val="%1."/>
      <w:lvlJc w:val="left"/>
    </w:lvl>
    <w:lvl w:ilvl="4">
      <w:start w:val="1"/>
      <w:numFmt w:val="bullet"/>
      <w:lvlText w:val="%1."/>
      <w:lvlJc w:val="left"/>
    </w:lvl>
    <w:lvl w:ilvl="5">
      <w:start w:val="1"/>
      <w:numFmt w:val="bullet"/>
      <w:lvlText w:val="%1."/>
      <w:lvlJc w:val="left"/>
    </w:lvl>
    <w:lvl w:ilvl="6">
      <w:start w:val="1"/>
      <w:numFmt w:val="bullet"/>
      <w:lvlText w:val="%1."/>
      <w:lvlJc w:val="left"/>
    </w:lvl>
    <w:lvl w:ilvl="7">
      <w:start w:val="1"/>
      <w:numFmt w:val="bullet"/>
      <w:lvlText w:val="%1."/>
      <w:lvlJc w:val="left"/>
    </w:lvl>
    <w:lvl w:ilvl="8">
      <w:start w:val="1"/>
      <w:numFmt w:val="bullet"/>
      <w:lvlText w:val="%1."/>
      <w:lvlJc w:val="left"/>
    </w:lvl>
  </w:abstractNum>
  <w:abstractNum w:abstractNumId="13" w15:restartNumberingAfterBreak="0">
    <w:nsid w:val="34D9A7D5"/>
    <w:multiLevelType w:val="multilevel"/>
    <w:tmpl w:val="DCA434AE"/>
    <w:lvl w:ilvl="0">
      <w:start w:val="1"/>
      <w:numFmt w:val="bullet"/>
      <w:lvlText w:val="●"/>
      <w:lvlJc w:val="left"/>
      <w:pPr>
        <w:ind w:left="600" w:hanging="360"/>
      </w:pPr>
    </w:lvl>
    <w:lvl w:ilvl="1">
      <w:start w:val="1"/>
      <w:numFmt w:val="bullet"/>
      <w:lvlText w:val="○"/>
      <w:lvlJc w:val="left"/>
      <w:pPr>
        <w:ind w:left="1200" w:hanging="360"/>
      </w:pPr>
    </w:lvl>
    <w:lvl w:ilvl="2">
      <w:start w:val="1"/>
      <w:numFmt w:val="bullet"/>
      <w:lvlText w:val="⁃"/>
      <w:lvlJc w:val="left"/>
      <w:pPr>
        <w:ind w:left="1800" w:hanging="360"/>
      </w:pPr>
    </w:lvl>
    <w:lvl w:ilvl="3">
      <w:start w:val="1"/>
      <w:numFmt w:val="bullet"/>
      <w:lvlText w:val="%1."/>
      <w:lvlJc w:val="left"/>
    </w:lvl>
    <w:lvl w:ilvl="4">
      <w:start w:val="1"/>
      <w:numFmt w:val="bullet"/>
      <w:lvlText w:val="%1."/>
      <w:lvlJc w:val="left"/>
    </w:lvl>
    <w:lvl w:ilvl="5">
      <w:start w:val="1"/>
      <w:numFmt w:val="bullet"/>
      <w:lvlText w:val="%1."/>
      <w:lvlJc w:val="left"/>
    </w:lvl>
    <w:lvl w:ilvl="6">
      <w:start w:val="1"/>
      <w:numFmt w:val="bullet"/>
      <w:lvlText w:val="%1."/>
      <w:lvlJc w:val="left"/>
    </w:lvl>
    <w:lvl w:ilvl="7">
      <w:start w:val="1"/>
      <w:numFmt w:val="bullet"/>
      <w:lvlText w:val="%1."/>
      <w:lvlJc w:val="left"/>
    </w:lvl>
    <w:lvl w:ilvl="8">
      <w:start w:val="1"/>
      <w:numFmt w:val="bullet"/>
      <w:lvlText w:val="%1."/>
      <w:lvlJc w:val="left"/>
    </w:lvl>
  </w:abstractNum>
  <w:abstractNum w:abstractNumId="14" w15:restartNumberingAfterBreak="0">
    <w:nsid w:val="351ED105"/>
    <w:multiLevelType w:val="multilevel"/>
    <w:tmpl w:val="4B7AEFA4"/>
    <w:lvl w:ilvl="0">
      <w:start w:val="1"/>
      <w:numFmt w:val="bullet"/>
      <w:lvlText w:val="●"/>
      <w:lvlJc w:val="left"/>
      <w:pPr>
        <w:ind w:left="600" w:hanging="360"/>
      </w:pPr>
    </w:lvl>
    <w:lvl w:ilvl="1">
      <w:start w:val="1"/>
      <w:numFmt w:val="bullet"/>
      <w:lvlText w:val="○"/>
      <w:lvlJc w:val="left"/>
      <w:pPr>
        <w:ind w:left="1200" w:hanging="360"/>
      </w:pPr>
    </w:lvl>
    <w:lvl w:ilvl="2">
      <w:start w:val="1"/>
      <w:numFmt w:val="bullet"/>
      <w:lvlText w:val="⁃"/>
      <w:lvlJc w:val="left"/>
      <w:pPr>
        <w:ind w:left="1800" w:hanging="360"/>
      </w:pPr>
    </w:lvl>
    <w:lvl w:ilvl="3">
      <w:start w:val="1"/>
      <w:numFmt w:val="bullet"/>
      <w:lvlText w:val="%1."/>
      <w:lvlJc w:val="left"/>
    </w:lvl>
    <w:lvl w:ilvl="4">
      <w:start w:val="1"/>
      <w:numFmt w:val="bullet"/>
      <w:lvlText w:val="%1."/>
      <w:lvlJc w:val="left"/>
    </w:lvl>
    <w:lvl w:ilvl="5">
      <w:start w:val="1"/>
      <w:numFmt w:val="bullet"/>
      <w:lvlText w:val="%1."/>
      <w:lvlJc w:val="left"/>
    </w:lvl>
    <w:lvl w:ilvl="6">
      <w:start w:val="1"/>
      <w:numFmt w:val="bullet"/>
      <w:lvlText w:val="%1."/>
      <w:lvlJc w:val="left"/>
    </w:lvl>
    <w:lvl w:ilvl="7">
      <w:start w:val="1"/>
      <w:numFmt w:val="bullet"/>
      <w:lvlText w:val="%1."/>
      <w:lvlJc w:val="left"/>
    </w:lvl>
    <w:lvl w:ilvl="8">
      <w:start w:val="1"/>
      <w:numFmt w:val="bullet"/>
      <w:lvlText w:val="%1."/>
      <w:lvlJc w:val="left"/>
    </w:lvl>
  </w:abstractNum>
  <w:abstractNum w:abstractNumId="15" w15:restartNumberingAfterBreak="0">
    <w:nsid w:val="42AE2857"/>
    <w:multiLevelType w:val="multilevel"/>
    <w:tmpl w:val="094019D6"/>
    <w:lvl w:ilvl="0">
      <w:start w:val="1"/>
      <w:numFmt w:val="bullet"/>
      <w:lvlText w:val="●"/>
      <w:lvlJc w:val="left"/>
      <w:pPr>
        <w:ind w:left="600" w:hanging="360"/>
      </w:pPr>
    </w:lvl>
    <w:lvl w:ilvl="1">
      <w:start w:val="1"/>
      <w:numFmt w:val="bullet"/>
      <w:lvlText w:val="○"/>
      <w:lvlJc w:val="left"/>
      <w:pPr>
        <w:ind w:left="1200" w:hanging="360"/>
      </w:pPr>
    </w:lvl>
    <w:lvl w:ilvl="2">
      <w:start w:val="1"/>
      <w:numFmt w:val="bullet"/>
      <w:lvlText w:val="⁃"/>
      <w:lvlJc w:val="left"/>
      <w:pPr>
        <w:ind w:left="1800" w:hanging="360"/>
      </w:pPr>
    </w:lvl>
    <w:lvl w:ilvl="3">
      <w:start w:val="1"/>
      <w:numFmt w:val="bullet"/>
      <w:lvlText w:val="%1."/>
      <w:lvlJc w:val="left"/>
    </w:lvl>
    <w:lvl w:ilvl="4">
      <w:start w:val="1"/>
      <w:numFmt w:val="bullet"/>
      <w:lvlText w:val="%1."/>
      <w:lvlJc w:val="left"/>
    </w:lvl>
    <w:lvl w:ilvl="5">
      <w:start w:val="1"/>
      <w:numFmt w:val="bullet"/>
      <w:lvlText w:val="%1."/>
      <w:lvlJc w:val="left"/>
    </w:lvl>
    <w:lvl w:ilvl="6">
      <w:start w:val="1"/>
      <w:numFmt w:val="bullet"/>
      <w:lvlText w:val="%1."/>
      <w:lvlJc w:val="left"/>
    </w:lvl>
    <w:lvl w:ilvl="7">
      <w:start w:val="1"/>
      <w:numFmt w:val="bullet"/>
      <w:lvlText w:val="%1."/>
      <w:lvlJc w:val="left"/>
    </w:lvl>
    <w:lvl w:ilvl="8">
      <w:start w:val="1"/>
      <w:numFmt w:val="bullet"/>
      <w:lvlText w:val="%1."/>
      <w:lvlJc w:val="left"/>
    </w:lvl>
  </w:abstractNum>
  <w:abstractNum w:abstractNumId="16" w15:restartNumberingAfterBreak="0">
    <w:nsid w:val="433B7BBA"/>
    <w:multiLevelType w:val="multilevel"/>
    <w:tmpl w:val="0415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453D6AC4"/>
    <w:multiLevelType w:val="multilevel"/>
    <w:tmpl w:val="EF8C86E8"/>
    <w:lvl w:ilvl="0">
      <w:start w:val="2"/>
      <w:numFmt w:val="decimal"/>
      <w:lvlText w:val="%1"/>
      <w:lvlJc w:val="left"/>
      <w:pPr>
        <w:ind w:left="525" w:hanging="525"/>
      </w:pPr>
      <w:rPr>
        <w:rFonts w:hint="default"/>
      </w:rPr>
    </w:lvl>
    <w:lvl w:ilvl="1">
      <w:start w:val="4"/>
      <w:numFmt w:val="decimal"/>
      <w:lvlText w:val="%1.%2"/>
      <w:lvlJc w:val="left"/>
      <w:pPr>
        <w:ind w:left="705" w:hanging="525"/>
      </w:pPr>
      <w:rPr>
        <w:rFonts w:hint="default"/>
      </w:rPr>
    </w:lvl>
    <w:lvl w:ilvl="2">
      <w:start w:val="5"/>
      <w:numFmt w:val="decimal"/>
      <w:lvlText w:val="%1.%2.%3"/>
      <w:lvlJc w:val="left"/>
      <w:pPr>
        <w:ind w:left="1080" w:hanging="720"/>
      </w:pPr>
      <w:rPr>
        <w:rFonts w:hint="default"/>
      </w:rPr>
    </w:lvl>
    <w:lvl w:ilvl="3">
      <w:start w:val="1"/>
      <w:numFmt w:val="decimal"/>
      <w:lvlText w:val="%1.%2.%3.%4"/>
      <w:lvlJc w:val="left"/>
      <w:pPr>
        <w:ind w:left="1620" w:hanging="108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2340" w:hanging="144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3060" w:hanging="1800"/>
      </w:pPr>
      <w:rPr>
        <w:rFonts w:hint="default"/>
      </w:rPr>
    </w:lvl>
    <w:lvl w:ilvl="8">
      <w:start w:val="1"/>
      <w:numFmt w:val="decimal"/>
      <w:lvlText w:val="%1.%2.%3.%4.%5.%6.%7.%8.%9"/>
      <w:lvlJc w:val="left"/>
      <w:pPr>
        <w:ind w:left="3240" w:hanging="1800"/>
      </w:pPr>
      <w:rPr>
        <w:rFonts w:hint="default"/>
      </w:rPr>
    </w:lvl>
  </w:abstractNum>
  <w:abstractNum w:abstractNumId="18" w15:restartNumberingAfterBreak="0">
    <w:nsid w:val="457C677D"/>
    <w:multiLevelType w:val="hybridMultilevel"/>
    <w:tmpl w:val="D90056CA"/>
    <w:lvl w:ilvl="0" w:tplc="CBD8A3CE">
      <w:start w:val="1"/>
      <w:numFmt w:val="decimal"/>
      <w:lvlText w:val="%1."/>
      <w:lvlJc w:val="left"/>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9" w15:restartNumberingAfterBreak="0">
    <w:nsid w:val="4AD10A42"/>
    <w:multiLevelType w:val="multilevel"/>
    <w:tmpl w:val="F7E8370E"/>
    <w:lvl w:ilvl="0">
      <w:start w:val="1"/>
      <w:numFmt w:val="decimal"/>
      <w:pStyle w:val="Nagwek1"/>
      <w:lvlText w:val="%1."/>
      <w:lvlJc w:val="left"/>
      <w:pPr>
        <w:ind w:left="0" w:firstLine="0"/>
      </w:pPr>
      <w:rPr>
        <w:rFonts w:hint="default"/>
      </w:rPr>
    </w:lvl>
    <w:lvl w:ilvl="1">
      <w:start w:val="1"/>
      <w:numFmt w:val="decimal"/>
      <w:pStyle w:val="Nagwek2"/>
      <w:isLgl/>
      <w:lvlText w:val="%1.%2."/>
      <w:lvlJc w:val="left"/>
      <w:pPr>
        <w:ind w:left="0" w:firstLine="0"/>
      </w:pPr>
      <w:rPr>
        <w:rFonts w:hint="default"/>
      </w:rPr>
    </w:lvl>
    <w:lvl w:ilvl="2">
      <w:start w:val="1"/>
      <w:numFmt w:val="decimal"/>
      <w:pStyle w:val="Nagwek3"/>
      <w:isLgl/>
      <w:lvlText w:val="%1.%2.%3."/>
      <w:lvlJc w:val="left"/>
      <w:pPr>
        <w:ind w:left="0" w:firstLine="0"/>
      </w:pPr>
    </w:lvl>
    <w:lvl w:ilvl="3">
      <w:start w:val="1"/>
      <w:numFmt w:val="decimal"/>
      <w:pStyle w:val="Styl3"/>
      <w:isLgl/>
      <w:lvlText w:val="%1.%2.%3.%4."/>
      <w:lvlJc w:val="left"/>
      <w:pPr>
        <w:ind w:left="0" w:firstLine="0"/>
      </w:pPr>
      <w:rPr>
        <w:rFonts w:hint="default"/>
      </w:rPr>
    </w:lvl>
    <w:lvl w:ilvl="4">
      <w:start w:val="1"/>
      <w:numFmt w:val="decimal"/>
      <w:isLgl/>
      <w:lvlText w:val="%1.%2.%3.%4.%5."/>
      <w:lvlJc w:val="left"/>
      <w:pPr>
        <w:ind w:left="1440" w:hanging="144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2160" w:hanging="2160"/>
      </w:pPr>
      <w:rPr>
        <w:rFonts w:hint="default"/>
      </w:rPr>
    </w:lvl>
    <w:lvl w:ilvl="8">
      <w:start w:val="1"/>
      <w:numFmt w:val="decimal"/>
      <w:isLgl/>
      <w:lvlText w:val="%1.%2.%3.%4.%5.%6.%7.%8.%9."/>
      <w:lvlJc w:val="left"/>
      <w:pPr>
        <w:ind w:left="2160" w:hanging="2160"/>
      </w:pPr>
      <w:rPr>
        <w:rFonts w:hint="default"/>
      </w:rPr>
    </w:lvl>
  </w:abstractNum>
  <w:abstractNum w:abstractNumId="20" w15:restartNumberingAfterBreak="0">
    <w:nsid w:val="4FF36EEE"/>
    <w:multiLevelType w:val="multilevel"/>
    <w:tmpl w:val="AC748C90"/>
    <w:lvl w:ilvl="0">
      <w:start w:val="1"/>
      <w:numFmt w:val="bullet"/>
      <w:lvlText w:val="●"/>
      <w:lvlJc w:val="left"/>
      <w:pPr>
        <w:ind w:left="600" w:hanging="360"/>
      </w:pPr>
    </w:lvl>
    <w:lvl w:ilvl="1">
      <w:start w:val="1"/>
      <w:numFmt w:val="bullet"/>
      <w:lvlText w:val="○"/>
      <w:lvlJc w:val="left"/>
      <w:pPr>
        <w:ind w:left="1200" w:hanging="360"/>
      </w:pPr>
    </w:lvl>
    <w:lvl w:ilvl="2">
      <w:start w:val="1"/>
      <w:numFmt w:val="bullet"/>
      <w:lvlText w:val="⁃"/>
      <w:lvlJc w:val="left"/>
      <w:pPr>
        <w:ind w:left="1800" w:hanging="360"/>
      </w:pPr>
    </w:lvl>
    <w:lvl w:ilvl="3">
      <w:start w:val="1"/>
      <w:numFmt w:val="bullet"/>
      <w:lvlText w:val="%1."/>
      <w:lvlJc w:val="left"/>
    </w:lvl>
    <w:lvl w:ilvl="4">
      <w:start w:val="1"/>
      <w:numFmt w:val="bullet"/>
      <w:lvlText w:val="%1."/>
      <w:lvlJc w:val="left"/>
    </w:lvl>
    <w:lvl w:ilvl="5">
      <w:start w:val="1"/>
      <w:numFmt w:val="bullet"/>
      <w:lvlText w:val="%1."/>
      <w:lvlJc w:val="left"/>
    </w:lvl>
    <w:lvl w:ilvl="6">
      <w:start w:val="1"/>
      <w:numFmt w:val="bullet"/>
      <w:lvlText w:val="%1."/>
      <w:lvlJc w:val="left"/>
    </w:lvl>
    <w:lvl w:ilvl="7">
      <w:start w:val="1"/>
      <w:numFmt w:val="bullet"/>
      <w:lvlText w:val="%1."/>
      <w:lvlJc w:val="left"/>
    </w:lvl>
    <w:lvl w:ilvl="8">
      <w:start w:val="1"/>
      <w:numFmt w:val="bullet"/>
      <w:lvlText w:val="%1."/>
      <w:lvlJc w:val="left"/>
    </w:lvl>
  </w:abstractNum>
  <w:abstractNum w:abstractNumId="21" w15:restartNumberingAfterBreak="0">
    <w:nsid w:val="55573E48"/>
    <w:multiLevelType w:val="multilevel"/>
    <w:tmpl w:val="EA9A9AAE"/>
    <w:lvl w:ilvl="0">
      <w:start w:val="1"/>
      <w:numFmt w:val="bullet"/>
      <w:lvlText w:val="●"/>
      <w:lvlJc w:val="left"/>
      <w:pPr>
        <w:ind w:left="600" w:hanging="360"/>
      </w:pPr>
    </w:lvl>
    <w:lvl w:ilvl="1">
      <w:start w:val="1"/>
      <w:numFmt w:val="bullet"/>
      <w:lvlText w:val="○"/>
      <w:lvlJc w:val="left"/>
      <w:pPr>
        <w:ind w:left="1200" w:hanging="360"/>
      </w:pPr>
    </w:lvl>
    <w:lvl w:ilvl="2">
      <w:start w:val="1"/>
      <w:numFmt w:val="bullet"/>
      <w:lvlText w:val="⁃"/>
      <w:lvlJc w:val="left"/>
      <w:pPr>
        <w:ind w:left="1800" w:hanging="360"/>
      </w:pPr>
    </w:lvl>
    <w:lvl w:ilvl="3">
      <w:start w:val="1"/>
      <w:numFmt w:val="bullet"/>
      <w:lvlText w:val="%1."/>
      <w:lvlJc w:val="left"/>
    </w:lvl>
    <w:lvl w:ilvl="4">
      <w:start w:val="1"/>
      <w:numFmt w:val="bullet"/>
      <w:lvlText w:val="%1."/>
      <w:lvlJc w:val="left"/>
    </w:lvl>
    <w:lvl w:ilvl="5">
      <w:start w:val="1"/>
      <w:numFmt w:val="bullet"/>
      <w:lvlText w:val="%1."/>
      <w:lvlJc w:val="left"/>
    </w:lvl>
    <w:lvl w:ilvl="6">
      <w:start w:val="1"/>
      <w:numFmt w:val="bullet"/>
      <w:lvlText w:val="%1."/>
      <w:lvlJc w:val="left"/>
    </w:lvl>
    <w:lvl w:ilvl="7">
      <w:start w:val="1"/>
      <w:numFmt w:val="bullet"/>
      <w:lvlText w:val="%1."/>
      <w:lvlJc w:val="left"/>
    </w:lvl>
    <w:lvl w:ilvl="8">
      <w:start w:val="1"/>
      <w:numFmt w:val="bullet"/>
      <w:lvlText w:val="%1."/>
      <w:lvlJc w:val="left"/>
    </w:lvl>
  </w:abstractNum>
  <w:abstractNum w:abstractNumId="22" w15:restartNumberingAfterBreak="0">
    <w:nsid w:val="557E19A3"/>
    <w:multiLevelType w:val="multilevel"/>
    <w:tmpl w:val="7C9A7F04"/>
    <w:lvl w:ilvl="0">
      <w:start w:val="2"/>
      <w:numFmt w:val="decimal"/>
      <w:lvlText w:val="%1"/>
      <w:lvlJc w:val="left"/>
      <w:pPr>
        <w:ind w:left="525" w:hanging="525"/>
      </w:pPr>
      <w:rPr>
        <w:rFonts w:hint="default"/>
      </w:rPr>
    </w:lvl>
    <w:lvl w:ilvl="1">
      <w:start w:val="3"/>
      <w:numFmt w:val="decimal"/>
      <w:lvlText w:val="%1.%2"/>
      <w:lvlJc w:val="left"/>
      <w:pPr>
        <w:ind w:left="705" w:hanging="525"/>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620" w:hanging="108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2340" w:hanging="144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3060" w:hanging="1800"/>
      </w:pPr>
      <w:rPr>
        <w:rFonts w:hint="default"/>
      </w:rPr>
    </w:lvl>
    <w:lvl w:ilvl="8">
      <w:start w:val="1"/>
      <w:numFmt w:val="decimal"/>
      <w:lvlText w:val="%1.%2.%3.%4.%5.%6.%7.%8.%9"/>
      <w:lvlJc w:val="left"/>
      <w:pPr>
        <w:ind w:left="3240" w:hanging="1800"/>
      </w:pPr>
      <w:rPr>
        <w:rFonts w:hint="default"/>
      </w:rPr>
    </w:lvl>
  </w:abstractNum>
  <w:abstractNum w:abstractNumId="23" w15:restartNumberingAfterBreak="0">
    <w:nsid w:val="57F24690"/>
    <w:multiLevelType w:val="multilevel"/>
    <w:tmpl w:val="86A0534C"/>
    <w:lvl w:ilvl="0">
      <w:start w:val="1"/>
      <w:numFmt w:val="bullet"/>
      <w:lvlText w:val="●"/>
      <w:lvlJc w:val="left"/>
      <w:pPr>
        <w:ind w:left="600" w:hanging="360"/>
      </w:pPr>
    </w:lvl>
    <w:lvl w:ilvl="1">
      <w:start w:val="1"/>
      <w:numFmt w:val="bullet"/>
      <w:lvlText w:val="○"/>
      <w:lvlJc w:val="left"/>
      <w:pPr>
        <w:ind w:left="1200" w:hanging="360"/>
      </w:pPr>
    </w:lvl>
    <w:lvl w:ilvl="2">
      <w:start w:val="1"/>
      <w:numFmt w:val="bullet"/>
      <w:lvlText w:val="⁃"/>
      <w:lvlJc w:val="left"/>
      <w:pPr>
        <w:ind w:left="1800" w:hanging="360"/>
      </w:pPr>
    </w:lvl>
    <w:lvl w:ilvl="3">
      <w:start w:val="1"/>
      <w:numFmt w:val="bullet"/>
      <w:lvlText w:val="%1."/>
      <w:lvlJc w:val="left"/>
    </w:lvl>
    <w:lvl w:ilvl="4">
      <w:start w:val="1"/>
      <w:numFmt w:val="bullet"/>
      <w:lvlText w:val="%1."/>
      <w:lvlJc w:val="left"/>
    </w:lvl>
    <w:lvl w:ilvl="5">
      <w:start w:val="1"/>
      <w:numFmt w:val="bullet"/>
      <w:lvlText w:val="%1."/>
      <w:lvlJc w:val="left"/>
    </w:lvl>
    <w:lvl w:ilvl="6">
      <w:start w:val="1"/>
      <w:numFmt w:val="bullet"/>
      <w:lvlText w:val="%1."/>
      <w:lvlJc w:val="left"/>
    </w:lvl>
    <w:lvl w:ilvl="7">
      <w:start w:val="1"/>
      <w:numFmt w:val="bullet"/>
      <w:lvlText w:val="%1."/>
      <w:lvlJc w:val="left"/>
    </w:lvl>
    <w:lvl w:ilvl="8">
      <w:start w:val="1"/>
      <w:numFmt w:val="bullet"/>
      <w:lvlText w:val="%1."/>
      <w:lvlJc w:val="left"/>
    </w:lvl>
  </w:abstractNum>
  <w:abstractNum w:abstractNumId="24" w15:restartNumberingAfterBreak="0">
    <w:nsid w:val="5CE11851"/>
    <w:multiLevelType w:val="multilevel"/>
    <w:tmpl w:val="F1608DCA"/>
    <w:lvl w:ilvl="0">
      <w:start w:val="1"/>
      <w:numFmt w:val="bullet"/>
      <w:lvlText w:val="●"/>
      <w:lvlJc w:val="left"/>
      <w:pPr>
        <w:ind w:left="600" w:hanging="360"/>
      </w:pPr>
    </w:lvl>
    <w:lvl w:ilvl="1">
      <w:start w:val="1"/>
      <w:numFmt w:val="bullet"/>
      <w:lvlText w:val="○"/>
      <w:lvlJc w:val="left"/>
      <w:pPr>
        <w:ind w:left="1200" w:hanging="360"/>
      </w:pPr>
    </w:lvl>
    <w:lvl w:ilvl="2">
      <w:start w:val="1"/>
      <w:numFmt w:val="bullet"/>
      <w:lvlText w:val="⁃"/>
      <w:lvlJc w:val="left"/>
      <w:pPr>
        <w:ind w:left="1800" w:hanging="360"/>
      </w:pPr>
    </w:lvl>
    <w:lvl w:ilvl="3">
      <w:start w:val="1"/>
      <w:numFmt w:val="bullet"/>
      <w:lvlText w:val="%1."/>
      <w:lvlJc w:val="left"/>
    </w:lvl>
    <w:lvl w:ilvl="4">
      <w:start w:val="1"/>
      <w:numFmt w:val="bullet"/>
      <w:lvlText w:val="%1."/>
      <w:lvlJc w:val="left"/>
    </w:lvl>
    <w:lvl w:ilvl="5">
      <w:start w:val="1"/>
      <w:numFmt w:val="bullet"/>
      <w:lvlText w:val="%1."/>
      <w:lvlJc w:val="left"/>
    </w:lvl>
    <w:lvl w:ilvl="6">
      <w:start w:val="1"/>
      <w:numFmt w:val="bullet"/>
      <w:lvlText w:val="%1."/>
      <w:lvlJc w:val="left"/>
    </w:lvl>
    <w:lvl w:ilvl="7">
      <w:start w:val="1"/>
      <w:numFmt w:val="bullet"/>
      <w:lvlText w:val="%1."/>
      <w:lvlJc w:val="left"/>
    </w:lvl>
    <w:lvl w:ilvl="8">
      <w:start w:val="1"/>
      <w:numFmt w:val="bullet"/>
      <w:lvlText w:val="%1."/>
      <w:lvlJc w:val="left"/>
    </w:lvl>
  </w:abstractNum>
  <w:abstractNum w:abstractNumId="25" w15:restartNumberingAfterBreak="0">
    <w:nsid w:val="63DB04CC"/>
    <w:multiLevelType w:val="hybridMultilevel"/>
    <w:tmpl w:val="3342D3EC"/>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6" w15:restartNumberingAfterBreak="0">
    <w:nsid w:val="672718CE"/>
    <w:multiLevelType w:val="multilevel"/>
    <w:tmpl w:val="7924C518"/>
    <w:lvl w:ilvl="0">
      <w:start w:val="2"/>
      <w:numFmt w:val="decimal"/>
      <w:lvlText w:val="%1"/>
      <w:lvlJc w:val="left"/>
      <w:pPr>
        <w:ind w:left="525" w:hanging="525"/>
      </w:pPr>
      <w:rPr>
        <w:rFonts w:hint="default"/>
      </w:rPr>
    </w:lvl>
    <w:lvl w:ilvl="1">
      <w:start w:val="5"/>
      <w:numFmt w:val="decimal"/>
      <w:lvlText w:val="%1.%2"/>
      <w:lvlJc w:val="left"/>
      <w:pPr>
        <w:ind w:left="525" w:hanging="525"/>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69E71DAD"/>
    <w:multiLevelType w:val="hybridMultilevel"/>
    <w:tmpl w:val="C19AB386"/>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8" w15:restartNumberingAfterBreak="0">
    <w:nsid w:val="71A64E3E"/>
    <w:multiLevelType w:val="multilevel"/>
    <w:tmpl w:val="2C66A9D2"/>
    <w:lvl w:ilvl="0">
      <w:start w:val="1"/>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9" w15:restartNumberingAfterBreak="0">
    <w:nsid w:val="76D474CF"/>
    <w:multiLevelType w:val="multilevel"/>
    <w:tmpl w:val="5DBC6A56"/>
    <w:lvl w:ilvl="0">
      <w:start w:val="2"/>
      <w:numFmt w:val="decimal"/>
      <w:lvlText w:val="%1"/>
      <w:lvlJc w:val="left"/>
      <w:pPr>
        <w:ind w:left="525" w:hanging="525"/>
      </w:pPr>
      <w:rPr>
        <w:rFonts w:hint="default"/>
      </w:rPr>
    </w:lvl>
    <w:lvl w:ilvl="1">
      <w:start w:val="3"/>
      <w:numFmt w:val="decimal"/>
      <w:lvlText w:val="%1.%2"/>
      <w:lvlJc w:val="left"/>
      <w:pPr>
        <w:ind w:left="705" w:hanging="525"/>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620" w:hanging="108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2340" w:hanging="144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3060" w:hanging="1800"/>
      </w:pPr>
      <w:rPr>
        <w:rFonts w:hint="default"/>
      </w:rPr>
    </w:lvl>
    <w:lvl w:ilvl="8">
      <w:start w:val="1"/>
      <w:numFmt w:val="decimal"/>
      <w:lvlText w:val="%1.%2.%3.%4.%5.%6.%7.%8.%9"/>
      <w:lvlJc w:val="left"/>
      <w:pPr>
        <w:ind w:left="3240" w:hanging="1800"/>
      </w:pPr>
      <w:rPr>
        <w:rFonts w:hint="default"/>
      </w:rPr>
    </w:lvl>
  </w:abstractNum>
  <w:num w:numId="1">
    <w:abstractNumId w:val="8"/>
  </w:num>
  <w:num w:numId="2">
    <w:abstractNumId w:val="27"/>
  </w:num>
  <w:num w:numId="3">
    <w:abstractNumId w:val="6"/>
  </w:num>
  <w:num w:numId="4">
    <w:abstractNumId w:val="28"/>
  </w:num>
  <w:num w:numId="5">
    <w:abstractNumId w:val="1"/>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9"/>
  </w:num>
  <w:num w:numId="9">
    <w:abstractNumId w:val="22"/>
  </w:num>
  <w:num w:numId="10">
    <w:abstractNumId w:val="29"/>
  </w:num>
  <w:num w:numId="11">
    <w:abstractNumId w:val="22"/>
    <w:lvlOverride w:ilvl="0">
      <w:startOverride w:val="2"/>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2"/>
    <w:lvlOverride w:ilvl="0">
      <w:startOverride w:val="2"/>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7"/>
  </w:num>
  <w:num w:numId="14">
    <w:abstractNumId w:val="3"/>
  </w:num>
  <w:num w:numId="15">
    <w:abstractNumId w:val="10"/>
  </w:num>
  <w:num w:numId="16">
    <w:abstractNumId w:val="18"/>
  </w:num>
  <w:num w:numId="17">
    <w:abstractNumId w:val="19"/>
  </w:num>
  <w:num w:numId="18">
    <w:abstractNumId w:val="16"/>
  </w:num>
  <w:num w:numId="19">
    <w:abstractNumId w:val="11"/>
  </w:num>
  <w:num w:numId="20">
    <w:abstractNumId w:val="25"/>
  </w:num>
  <w:num w:numId="21">
    <w:abstractNumId w:val="17"/>
  </w:num>
  <w:num w:numId="22">
    <w:abstractNumId w:val="26"/>
  </w:num>
  <w:num w:numId="23">
    <w:abstractNumId w:val="12"/>
  </w:num>
  <w:num w:numId="24">
    <w:abstractNumId w:val="0"/>
  </w:num>
  <w:num w:numId="25">
    <w:abstractNumId w:val="23"/>
  </w:num>
  <w:num w:numId="26">
    <w:abstractNumId w:val="4"/>
  </w:num>
  <w:num w:numId="27">
    <w:abstractNumId w:val="13"/>
  </w:num>
  <w:num w:numId="28">
    <w:abstractNumId w:val="24"/>
  </w:num>
  <w:num w:numId="29">
    <w:abstractNumId w:val="21"/>
  </w:num>
  <w:num w:numId="30">
    <w:abstractNumId w:val="15"/>
  </w:num>
  <w:num w:numId="31">
    <w:abstractNumId w:val="2"/>
  </w:num>
  <w:num w:numId="32">
    <w:abstractNumId w:val="14"/>
  </w:num>
  <w:num w:numId="33">
    <w:abstractNumId w:val="20"/>
  </w:num>
  <w:num w:numId="3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mirrorMargins/>
  <w:proofState w:spelling="clean"/>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4D08"/>
    <w:rsid w:val="000006A8"/>
    <w:rsid w:val="00035284"/>
    <w:rsid w:val="002C1E18"/>
    <w:rsid w:val="008F5FB9"/>
    <w:rsid w:val="00954D08"/>
    <w:rsid w:val="009A60DE"/>
    <w:rsid w:val="009F3800"/>
    <w:rsid w:val="00A73F9F"/>
    <w:rsid w:val="00C12E0C"/>
    <w:rsid w:val="00D45C71"/>
  </w:rsids>
  <m:mathPr>
    <m:mathFont m:val="Cambria Math"/>
    <m:brkBin m:val="before"/>
    <m:brkBinSub m:val="--"/>
    <m:smallFrac/>
    <m:dispDef/>
    <m:lMargin m:val="0"/>
    <m:rMargin m:val="0"/>
    <m:defJc m:val="centerGroup"/>
    <m:wrapIndent m:val="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4BFB1A9-68A9-43E5-96E3-EA63E9465B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color w:val="0D0D0D" w:themeColor="text1" w:themeTint="F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pPr>
      <w:spacing w:line="276" w:lineRule="auto"/>
    </w:pPr>
    <w:rPr>
      <w:rFonts w:ascii="Times New Roman" w:hAnsi="Times New Roman"/>
    </w:rPr>
  </w:style>
  <w:style w:type="paragraph" w:styleId="Nagwek1">
    <w:name w:val="heading 1"/>
    <w:basedOn w:val="Normalny"/>
    <w:next w:val="Normalny"/>
    <w:link w:val="Nagwek1Znak"/>
    <w:autoRedefine/>
    <w:qFormat/>
    <w:pPr>
      <w:keepNext/>
      <w:keepLines/>
      <w:numPr>
        <w:numId w:val="17"/>
      </w:numPr>
      <w:spacing w:before="840" w:after="840"/>
      <w:contextualSpacing/>
      <w:outlineLvl w:val="0"/>
    </w:pPr>
    <w:rPr>
      <w:rFonts w:asciiTheme="majorHAnsi" w:eastAsiaTheme="majorEastAsia" w:hAnsiTheme="majorHAnsi" w:cstheme="majorBidi"/>
      <w:b/>
      <w:color w:val="2F5C89" w:themeColor="accent1"/>
      <w:sz w:val="24"/>
      <w:szCs w:val="24"/>
    </w:rPr>
  </w:style>
  <w:style w:type="paragraph" w:styleId="Nagwek2">
    <w:name w:val="heading 2"/>
    <w:basedOn w:val="Normalny"/>
    <w:next w:val="Normalny"/>
    <w:link w:val="Nagwek2Znak"/>
    <w:autoRedefine/>
    <w:qFormat/>
    <w:pPr>
      <w:keepNext/>
      <w:keepLines/>
      <w:numPr>
        <w:ilvl w:val="1"/>
        <w:numId w:val="17"/>
      </w:numPr>
      <w:spacing w:before="480"/>
      <w:contextualSpacing/>
      <w:outlineLvl w:val="1"/>
    </w:pPr>
    <w:rPr>
      <w:rFonts w:asciiTheme="majorHAnsi" w:eastAsiaTheme="majorEastAsia" w:hAnsiTheme="majorHAnsi" w:cstheme="majorBidi"/>
      <w:b/>
      <w:smallCaps/>
      <w:color w:val="234466" w:themeColor="accent1" w:themeShade="BF"/>
    </w:rPr>
  </w:style>
  <w:style w:type="paragraph" w:styleId="Nagwek3">
    <w:name w:val="heading 3"/>
    <w:basedOn w:val="Normalny"/>
    <w:next w:val="Normalny"/>
    <w:link w:val="Nagwek3Znak"/>
    <w:autoRedefine/>
    <w:qFormat/>
    <w:pPr>
      <w:keepNext/>
      <w:keepLines/>
      <w:numPr>
        <w:ilvl w:val="2"/>
        <w:numId w:val="17"/>
      </w:numPr>
      <w:spacing w:before="480" w:after="40" w:line="360" w:lineRule="auto"/>
      <w:contextualSpacing/>
      <w:outlineLvl w:val="2"/>
    </w:pPr>
    <w:rPr>
      <w:rFonts w:asciiTheme="majorHAnsi" w:eastAsiaTheme="majorEastAsia" w:hAnsiTheme="majorHAnsi" w:cstheme="majorBidi"/>
      <w:b/>
      <w:smallCaps/>
      <w:color w:val="3C3F49"/>
      <w:szCs w:val="20"/>
    </w:rPr>
  </w:style>
  <w:style w:type="paragraph" w:styleId="Nagwek4">
    <w:name w:val="heading 4"/>
    <w:basedOn w:val="Normalny"/>
    <w:next w:val="Normalny"/>
    <w:link w:val="Nagwek4Znak"/>
    <w:semiHidden/>
    <w:qFormat/>
    <w:pPr>
      <w:keepNext/>
      <w:keepLines/>
      <w:spacing w:before="240" w:after="40"/>
      <w:outlineLvl w:val="3"/>
    </w:pPr>
    <w:rPr>
      <w:rFonts w:asciiTheme="majorHAnsi" w:eastAsiaTheme="majorEastAsia" w:hAnsiTheme="majorHAnsi" w:cstheme="majorBidi"/>
      <w:b/>
      <w:iCs/>
      <w:smallCaps/>
      <w:color w:val="234466" w:themeColor="accent1" w:themeShade="BF"/>
      <w:szCs w:val="20"/>
    </w:rPr>
  </w:style>
  <w:style w:type="paragraph" w:styleId="Nagwek5">
    <w:name w:val="heading 5"/>
    <w:next w:val="Normalny"/>
    <w:pPr>
      <w:keepNext/>
      <w:spacing w:before="240" w:after="120"/>
      <w:outlineLvl w:val="4"/>
    </w:pPr>
    <w:rPr>
      <w:b/>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ytu">
    <w:name w:val="Title"/>
    <w:basedOn w:val="Normalny"/>
    <w:next w:val="Normalny"/>
    <w:link w:val="TytuZnak"/>
    <w:autoRedefine/>
    <w:qFormat/>
    <w:pPr>
      <w:spacing w:before="840" w:after="300" w:line="240" w:lineRule="auto"/>
      <w:contextualSpacing/>
      <w:jc w:val="center"/>
    </w:pPr>
    <w:rPr>
      <w:rFonts w:eastAsiaTheme="majorEastAsia" w:cstheme="majorBidi"/>
      <w:b/>
      <w:color w:val="3C3F49" w:themeColor="text2"/>
      <w:spacing w:val="5"/>
      <w:kern w:val="28"/>
      <w:sz w:val="72"/>
      <w:szCs w:val="48"/>
    </w:rPr>
  </w:style>
  <w:style w:type="paragraph" w:styleId="Podtytu">
    <w:name w:val="Subtitle"/>
    <w:basedOn w:val="Normalny"/>
    <w:next w:val="Normalny"/>
    <w:link w:val="PodtytuZnak"/>
    <w:autoRedefine/>
    <w:qFormat/>
    <w:rPr>
      <w:rFonts w:eastAsiaTheme="minorEastAsia"/>
      <w:color w:val="auto"/>
      <w:szCs w:val="14"/>
    </w:rPr>
  </w:style>
  <w:style w:type="paragraph" w:styleId="Akapitzlist">
    <w:name w:val="List Paragraph"/>
    <w:basedOn w:val="Normalny"/>
    <w:autoRedefine/>
    <w:qFormat/>
    <w:pPr>
      <w:ind w:left="720"/>
      <w:contextualSpacing/>
    </w:pPr>
  </w:style>
  <w:style w:type="paragraph" w:styleId="Tekstdymka">
    <w:name w:val="Balloon Text"/>
    <w:basedOn w:val="Normalny"/>
    <w:link w:val="TekstdymkaZnak"/>
    <w:semiHidden/>
    <w:pPr>
      <w:spacing w:after="0" w:line="240" w:lineRule="auto"/>
    </w:pPr>
    <w:rPr>
      <w:rFonts w:ascii="Segoe UI" w:hAnsi="Segoe UI" w:cs="Segoe UI"/>
      <w:sz w:val="18"/>
      <w:szCs w:val="18"/>
    </w:rPr>
  </w:style>
  <w:style w:type="paragraph" w:styleId="Cytatintensywny">
    <w:name w:val="Intense Quote"/>
    <w:aliases w:val="Pozytyw"/>
    <w:basedOn w:val="Normalny"/>
    <w:next w:val="Normalny"/>
    <w:link w:val="CytatintensywnyZnak"/>
    <w:autoRedefine/>
    <w:qFormat/>
    <w:pPr>
      <w:pBdr>
        <w:top w:val="single" w:sz="8" w:space="10" w:color="006139" w:themeColor="accent6"/>
        <w:bottom w:val="single" w:sz="8" w:space="10" w:color="006139" w:themeColor="accent6"/>
      </w:pBdr>
      <w:shd w:val="clear" w:color="auto" w:fill="E1F5F5"/>
      <w:spacing w:before="360" w:after="360"/>
      <w:ind w:left="864" w:right="864"/>
      <w:jc w:val="center"/>
    </w:pPr>
    <w:rPr>
      <w:i/>
      <w:iCs/>
      <w:color w:val="006139" w:themeColor="accent6"/>
    </w:rPr>
  </w:style>
  <w:style w:type="paragraph" w:styleId="Cytat">
    <w:name w:val="Quote"/>
    <w:aliases w:val="Uwaga"/>
    <w:basedOn w:val="Normalny"/>
    <w:next w:val="Normalny"/>
    <w:link w:val="CytatZnak"/>
    <w:autoRedefine/>
    <w:qFormat/>
    <w:pPr>
      <w:pBdr>
        <w:top w:val="single" w:sz="8" w:space="10" w:color="D90912" w:themeColor="accent4"/>
        <w:bottom w:val="single" w:sz="8" w:space="10" w:color="D90912" w:themeColor="accent4"/>
      </w:pBdr>
      <w:shd w:val="clear" w:color="auto" w:fill="FFF5F5"/>
      <w:spacing w:before="360" w:after="360"/>
      <w:ind w:left="862" w:right="862"/>
      <w:contextualSpacing/>
      <w:jc w:val="center"/>
    </w:pPr>
    <w:rPr>
      <w:i/>
      <w:iCs/>
      <w:color w:val="D90912" w:themeColor="accent4"/>
    </w:rPr>
  </w:style>
  <w:style w:type="paragraph" w:styleId="Nagwek">
    <w:name w:val="header"/>
    <w:basedOn w:val="Normalny"/>
    <w:link w:val="NagwekZnak"/>
    <w:pPr>
      <w:tabs>
        <w:tab w:val="center" w:pos="4536"/>
        <w:tab w:val="right" w:pos="9072"/>
      </w:tabs>
      <w:spacing w:after="0" w:line="240" w:lineRule="auto"/>
    </w:pPr>
  </w:style>
  <w:style w:type="paragraph" w:styleId="Stopka">
    <w:name w:val="footer"/>
    <w:basedOn w:val="Normalny"/>
    <w:link w:val="StopkaZnak"/>
    <w:pPr>
      <w:tabs>
        <w:tab w:val="center" w:pos="4536"/>
        <w:tab w:val="right" w:pos="9072"/>
      </w:tabs>
      <w:spacing w:before="240" w:after="0" w:line="240" w:lineRule="auto"/>
    </w:pPr>
    <w:rPr>
      <w:sz w:val="18"/>
    </w:rPr>
  </w:style>
  <w:style w:type="paragraph" w:styleId="Nagwekspisutreci">
    <w:name w:val="TOC Heading"/>
    <w:basedOn w:val="Nagwek1"/>
    <w:next w:val="Normalny"/>
    <w:qFormat/>
    <w:pPr>
      <w:spacing w:line="259" w:lineRule="auto"/>
      <w:outlineLvl w:val="9"/>
    </w:pPr>
    <w:rPr>
      <w:color w:val="234466" w:themeColor="accent1" w:themeShade="BF"/>
      <w:lang w:eastAsia="pl-PL"/>
    </w:rPr>
  </w:style>
  <w:style w:type="paragraph" w:styleId="Spistreci1">
    <w:name w:val="toc 1"/>
    <w:basedOn w:val="Normalny"/>
    <w:next w:val="Normalny"/>
    <w:autoRedefine/>
    <w:pPr>
      <w:spacing w:before="240" w:after="0"/>
    </w:pPr>
    <w:rPr>
      <w:rFonts w:cstheme="majorHAnsi"/>
      <w:b/>
      <w:bCs/>
      <w:caps/>
      <w:sz w:val="24"/>
      <w:szCs w:val="24"/>
    </w:rPr>
  </w:style>
  <w:style w:type="paragraph" w:styleId="Spistreci2">
    <w:name w:val="toc 2"/>
    <w:basedOn w:val="Normalny"/>
    <w:next w:val="Normalny"/>
    <w:autoRedefine/>
    <w:pPr>
      <w:spacing w:before="120" w:after="0"/>
    </w:pPr>
    <w:rPr>
      <w:rFonts w:cstheme="minorHAnsi"/>
      <w:b/>
      <w:bCs/>
    </w:rPr>
  </w:style>
  <w:style w:type="paragraph" w:styleId="Spistreci3">
    <w:name w:val="toc 3"/>
    <w:basedOn w:val="Normalny"/>
    <w:next w:val="Normalny"/>
    <w:autoRedefine/>
    <w:pPr>
      <w:spacing w:after="0"/>
      <w:ind w:left="200"/>
    </w:pPr>
    <w:rPr>
      <w:rFonts w:cstheme="minorHAnsi"/>
    </w:rPr>
  </w:style>
  <w:style w:type="paragraph" w:styleId="Spistreci4">
    <w:name w:val="toc 4"/>
    <w:basedOn w:val="Normalny"/>
    <w:next w:val="Normalny"/>
    <w:autoRedefine/>
    <w:pPr>
      <w:spacing w:after="0"/>
      <w:ind w:left="400"/>
    </w:pPr>
    <w:rPr>
      <w:rFonts w:cstheme="minorHAnsi"/>
    </w:rPr>
  </w:style>
  <w:style w:type="paragraph" w:styleId="Spistreci5">
    <w:name w:val="toc 5"/>
    <w:basedOn w:val="Normalny"/>
    <w:next w:val="Normalny"/>
    <w:autoRedefine/>
    <w:pPr>
      <w:spacing w:after="0"/>
      <w:ind w:left="600"/>
    </w:pPr>
    <w:rPr>
      <w:rFonts w:cstheme="minorHAnsi"/>
    </w:rPr>
  </w:style>
  <w:style w:type="paragraph" w:styleId="Spistreci6">
    <w:name w:val="toc 6"/>
    <w:basedOn w:val="Normalny"/>
    <w:next w:val="Normalny"/>
    <w:autoRedefine/>
    <w:pPr>
      <w:spacing w:after="0"/>
      <w:ind w:left="800"/>
    </w:pPr>
    <w:rPr>
      <w:rFonts w:cstheme="minorHAnsi"/>
    </w:rPr>
  </w:style>
  <w:style w:type="paragraph" w:styleId="Spistreci7">
    <w:name w:val="toc 7"/>
    <w:basedOn w:val="Normalny"/>
    <w:next w:val="Normalny"/>
    <w:autoRedefine/>
    <w:pPr>
      <w:spacing w:after="0"/>
      <w:ind w:left="1000"/>
    </w:pPr>
    <w:rPr>
      <w:rFonts w:cstheme="minorHAnsi"/>
    </w:rPr>
  </w:style>
  <w:style w:type="paragraph" w:styleId="Spistreci8">
    <w:name w:val="toc 8"/>
    <w:basedOn w:val="Normalny"/>
    <w:next w:val="Normalny"/>
    <w:autoRedefine/>
    <w:pPr>
      <w:spacing w:after="0"/>
      <w:ind w:left="1200"/>
    </w:pPr>
    <w:rPr>
      <w:rFonts w:cstheme="minorHAnsi"/>
    </w:rPr>
  </w:style>
  <w:style w:type="paragraph" w:styleId="Spistreci9">
    <w:name w:val="toc 9"/>
    <w:basedOn w:val="Normalny"/>
    <w:next w:val="Normalny"/>
    <w:autoRedefine/>
    <w:pPr>
      <w:spacing w:after="0"/>
      <w:ind w:left="1400"/>
    </w:pPr>
    <w:rPr>
      <w:rFonts w:cstheme="minorHAnsi"/>
    </w:rPr>
  </w:style>
  <w:style w:type="paragraph" w:styleId="Tekstkomentarza">
    <w:name w:val="annotation text"/>
    <w:basedOn w:val="Normalny"/>
    <w:link w:val="TekstkomentarzaZnak"/>
    <w:pPr>
      <w:spacing w:line="240" w:lineRule="auto"/>
    </w:pPr>
  </w:style>
  <w:style w:type="paragraph" w:styleId="Tematkomentarza">
    <w:name w:val="annotation subject"/>
    <w:basedOn w:val="Tekstkomentarza"/>
    <w:next w:val="Tekstkomentarza"/>
    <w:link w:val="TematkomentarzaZnak"/>
    <w:semiHidden/>
    <w:rPr>
      <w:b/>
      <w:bCs/>
    </w:rPr>
  </w:style>
  <w:style w:type="paragraph" w:styleId="Legenda">
    <w:name w:val="caption"/>
    <w:basedOn w:val="Normalny"/>
    <w:next w:val="Normalny"/>
    <w:qFormat/>
    <w:pPr>
      <w:spacing w:after="200" w:line="240" w:lineRule="auto"/>
    </w:pPr>
    <w:rPr>
      <w:i/>
      <w:iCs/>
      <w:color w:val="3C3F49" w:themeColor="text2"/>
      <w:sz w:val="18"/>
      <w:szCs w:val="18"/>
    </w:rPr>
  </w:style>
  <w:style w:type="paragraph" w:styleId="Tekstprzypisukocowego">
    <w:name w:val="endnote text"/>
    <w:basedOn w:val="Normalny"/>
    <w:link w:val="TekstprzypisukocowegoZnak"/>
    <w:semiHidden/>
    <w:pPr>
      <w:spacing w:after="0" w:line="240" w:lineRule="auto"/>
    </w:pPr>
  </w:style>
  <w:style w:type="paragraph" w:customStyle="1" w:styleId="Styl1">
    <w:name w:val="Styl1"/>
    <w:basedOn w:val="Podtytu"/>
    <w:link w:val="Styl1Znak"/>
    <w:qFormat/>
  </w:style>
  <w:style w:type="paragraph" w:customStyle="1" w:styleId="Naglowek4">
    <w:name w:val="Naglowek 4"/>
    <w:basedOn w:val="Nagwek3"/>
    <w:next w:val="Nagwek4"/>
    <w:qFormat/>
    <w:pPr>
      <w:spacing w:before="120" w:after="120"/>
    </w:pPr>
  </w:style>
  <w:style w:type="paragraph" w:customStyle="1" w:styleId="Styl2">
    <w:name w:val="Styl2"/>
    <w:basedOn w:val="Nagwek3"/>
    <w:next w:val="Naglowek4"/>
    <w:qFormat/>
  </w:style>
  <w:style w:type="paragraph" w:customStyle="1" w:styleId="Styl3">
    <w:name w:val="Styl3"/>
    <w:basedOn w:val="Nagwek3"/>
    <w:qFormat/>
    <w:pPr>
      <w:numPr>
        <w:ilvl w:val="3"/>
      </w:numPr>
    </w:pPr>
  </w:style>
  <w:style w:type="paragraph" w:customStyle="1" w:styleId="Styl31">
    <w:name w:val="Styl31"/>
    <w:basedOn w:val="Nagwek3"/>
    <w:next w:val="Styl3"/>
    <w:qFormat/>
    <w:pPr>
      <w:numPr>
        <w:numId w:val="0"/>
      </w:numPr>
      <w:ind w:left="1080" w:hanging="1080"/>
    </w:pPr>
  </w:style>
  <w:style w:type="paragraph" w:customStyle="1" w:styleId="SmallTitle">
    <w:name w:val="SmallTitle"/>
    <w:basedOn w:val="Normalny"/>
    <w:link w:val="SmallTitleZnak"/>
    <w:qFormat/>
    <w:pPr>
      <w:spacing w:line="259" w:lineRule="auto"/>
      <w:jc w:val="center"/>
    </w:pPr>
    <w:rPr>
      <w:b/>
      <w:bCs/>
    </w:rPr>
  </w:style>
  <w:style w:type="paragraph" w:customStyle="1" w:styleId="SmallSubtitle">
    <w:name w:val="SmallSubtitle"/>
    <w:basedOn w:val="Normalny"/>
    <w:link w:val="SmallSubtitleZnak"/>
    <w:qFormat/>
    <w:pPr>
      <w:keepNext/>
      <w:spacing w:before="240"/>
    </w:pPr>
    <w:rPr>
      <w:b/>
      <w:caps/>
      <w:lang w:val="en-US"/>
    </w:rPr>
  </w:style>
  <w:style w:type="paragraph" w:styleId="Tekstprzypisudolnego">
    <w:name w:val="footnote text"/>
    <w:link w:val="TekstprzypisudolnegoZnak"/>
    <w:semiHidden/>
    <w:pPr>
      <w:spacing w:after="0" w:line="240" w:lineRule="auto"/>
    </w:pPr>
    <w:rPr>
      <w:szCs w:val="20"/>
    </w:rPr>
  </w:style>
  <w:style w:type="character" w:styleId="Numerwiersza">
    <w:name w:val="line number"/>
    <w:basedOn w:val="Domylnaczcionkaakapitu"/>
    <w:semiHidden/>
  </w:style>
  <w:style w:type="character" w:styleId="Hipercze">
    <w:name w:val="Hyperlink"/>
    <w:basedOn w:val="Domylnaczcionkaakapitu"/>
    <w:rPr>
      <w:color w:val="0563C1" w:themeColor="hyperlink"/>
      <w:u w:val="single"/>
    </w:rPr>
  </w:style>
  <w:style w:type="character" w:customStyle="1" w:styleId="Nagwek1Znak">
    <w:name w:val="Nagłówek 1 Znak"/>
    <w:basedOn w:val="Domylnaczcionkaakapitu"/>
    <w:link w:val="Nagwek1"/>
    <w:rPr>
      <w:rFonts w:asciiTheme="majorHAnsi" w:eastAsiaTheme="majorEastAsia" w:hAnsiTheme="majorHAnsi" w:cstheme="majorBidi"/>
      <w:b/>
      <w:color w:val="2F5C89" w:themeColor="accent1"/>
      <w:sz w:val="24"/>
      <w:szCs w:val="24"/>
    </w:rPr>
  </w:style>
  <w:style w:type="character" w:customStyle="1" w:styleId="Nagwek2Znak">
    <w:name w:val="Nagłówek 2 Znak"/>
    <w:basedOn w:val="Domylnaczcionkaakapitu"/>
    <w:link w:val="Nagwek2"/>
    <w:rPr>
      <w:rFonts w:asciiTheme="majorHAnsi" w:eastAsiaTheme="majorEastAsia" w:hAnsiTheme="majorHAnsi" w:cstheme="majorBidi"/>
      <w:b/>
      <w:smallCaps/>
      <w:color w:val="234466" w:themeColor="accent1" w:themeShade="BF"/>
    </w:rPr>
  </w:style>
  <w:style w:type="character" w:customStyle="1" w:styleId="TytuZnak">
    <w:name w:val="Tytuł Znak"/>
    <w:basedOn w:val="Domylnaczcionkaakapitu"/>
    <w:link w:val="Tytu"/>
    <w:rPr>
      <w:rFonts w:ascii="Times New Roman" w:eastAsiaTheme="majorEastAsia" w:hAnsi="Times New Roman" w:cstheme="majorBidi"/>
      <w:b/>
      <w:color w:val="3C3F49" w:themeColor="text2"/>
      <w:spacing w:val="5"/>
      <w:kern w:val="28"/>
      <w:sz w:val="72"/>
      <w:szCs w:val="48"/>
    </w:rPr>
  </w:style>
  <w:style w:type="character" w:customStyle="1" w:styleId="PodtytuZnak">
    <w:name w:val="Podtytuł Znak"/>
    <w:basedOn w:val="Domylnaczcionkaakapitu"/>
    <w:link w:val="Podtytu"/>
    <w:rPr>
      <w:rFonts w:eastAsiaTheme="minorEastAsia"/>
      <w:color w:val="auto"/>
      <w:szCs w:val="14"/>
    </w:rPr>
  </w:style>
  <w:style w:type="character" w:customStyle="1" w:styleId="Nagwek3Znak">
    <w:name w:val="Nagłówek 3 Znak"/>
    <w:basedOn w:val="Domylnaczcionkaakapitu"/>
    <w:link w:val="Nagwek3"/>
    <w:rPr>
      <w:rFonts w:asciiTheme="majorHAnsi" w:eastAsiaTheme="majorEastAsia" w:hAnsiTheme="majorHAnsi" w:cstheme="majorBidi"/>
      <w:b/>
      <w:smallCaps/>
      <w:color w:val="3C3F49"/>
      <w:sz w:val="20"/>
      <w:szCs w:val="20"/>
    </w:rPr>
  </w:style>
  <w:style w:type="character" w:styleId="Wyrnieniedelikatne">
    <w:name w:val="Subtle Emphasis"/>
    <w:aliases w:val="Źródło"/>
    <w:basedOn w:val="Domylnaczcionkaakapitu"/>
    <w:rPr>
      <w:i/>
      <w:iCs/>
      <w:color w:val="404040" w:themeColor="text1" w:themeTint="BF"/>
    </w:rPr>
  </w:style>
  <w:style w:type="character" w:customStyle="1" w:styleId="TekstdymkaZnak">
    <w:name w:val="Tekst dymka Znak"/>
    <w:basedOn w:val="Domylnaczcionkaakapitu"/>
    <w:link w:val="Tekstdymka"/>
    <w:semiHidden/>
    <w:rPr>
      <w:rFonts w:ascii="Segoe UI" w:hAnsi="Segoe UI" w:cs="Segoe UI"/>
      <w:color w:val="121313" w:themeColor="background2" w:themeShade="19"/>
      <w:sz w:val="18"/>
      <w:szCs w:val="18"/>
    </w:rPr>
  </w:style>
  <w:style w:type="character" w:customStyle="1" w:styleId="CytatintensywnyZnak">
    <w:name w:val="Cytat intensywny Znak"/>
    <w:aliases w:val="Pozytyw Znak"/>
    <w:basedOn w:val="Domylnaczcionkaakapitu"/>
    <w:link w:val="Cytatintensywny"/>
    <w:rPr>
      <w:i/>
      <w:iCs/>
      <w:color w:val="006139" w:themeColor="accent6"/>
      <w:sz w:val="20"/>
      <w:shd w:val="clear" w:color="auto" w:fill="E1F5F5"/>
    </w:rPr>
  </w:style>
  <w:style w:type="character" w:customStyle="1" w:styleId="CytatZnak">
    <w:name w:val="Cytat Znak"/>
    <w:aliases w:val="Uwaga Znak"/>
    <w:basedOn w:val="Domylnaczcionkaakapitu"/>
    <w:link w:val="Cytat"/>
    <w:rPr>
      <w:i/>
      <w:iCs/>
      <w:color w:val="D90912" w:themeColor="accent4"/>
      <w:sz w:val="20"/>
      <w:shd w:val="clear" w:color="auto" w:fill="FFF5F5"/>
    </w:rPr>
  </w:style>
  <w:style w:type="character" w:customStyle="1" w:styleId="NagwekZnak">
    <w:name w:val="Nagłówek Znak"/>
    <w:basedOn w:val="Domylnaczcionkaakapitu"/>
    <w:link w:val="Nagwek"/>
    <w:rPr>
      <w:color w:val="121313" w:themeColor="background2" w:themeShade="19"/>
      <w:sz w:val="20"/>
    </w:rPr>
  </w:style>
  <w:style w:type="character" w:customStyle="1" w:styleId="StopkaZnak">
    <w:name w:val="Stopka Znak"/>
    <w:basedOn w:val="Domylnaczcionkaakapitu"/>
    <w:link w:val="Stopka"/>
    <w:rPr>
      <w:rFonts w:ascii="Times New Roman" w:hAnsi="Times New Roman"/>
      <w:sz w:val="18"/>
    </w:rPr>
  </w:style>
  <w:style w:type="character" w:styleId="Odwoaniedokomentarza">
    <w:name w:val="annotation reference"/>
    <w:basedOn w:val="Domylnaczcionkaakapitu"/>
    <w:semiHidden/>
    <w:rPr>
      <w:sz w:val="16"/>
      <w:szCs w:val="16"/>
    </w:rPr>
  </w:style>
  <w:style w:type="character" w:customStyle="1" w:styleId="TekstkomentarzaZnak">
    <w:name w:val="Tekst komentarza Znak"/>
    <w:basedOn w:val="Domylnaczcionkaakapitu"/>
    <w:link w:val="Tekstkomentarza"/>
  </w:style>
  <w:style w:type="character" w:customStyle="1" w:styleId="TematkomentarzaZnak">
    <w:name w:val="Temat komentarza Znak"/>
    <w:basedOn w:val="TekstkomentarzaZnak"/>
    <w:link w:val="Tematkomentarza"/>
    <w:semiHidden/>
    <w:rPr>
      <w:b/>
      <w:bCs/>
    </w:rPr>
  </w:style>
  <w:style w:type="character" w:customStyle="1" w:styleId="TekstprzypisukocowegoZnak">
    <w:name w:val="Tekst przypisu końcowego Znak"/>
    <w:basedOn w:val="Domylnaczcionkaakapitu"/>
    <w:link w:val="Tekstprzypisukocowego"/>
    <w:semiHidden/>
  </w:style>
  <w:style w:type="character" w:styleId="Odwoanieprzypisukocowego">
    <w:name w:val="endnote reference"/>
    <w:basedOn w:val="Domylnaczcionkaakapitu"/>
    <w:semiHidden/>
    <w:rPr>
      <w:vertAlign w:val="superscript"/>
    </w:rPr>
  </w:style>
  <w:style w:type="character" w:customStyle="1" w:styleId="Styl1Znak">
    <w:name w:val="Styl1 Znak"/>
    <w:basedOn w:val="PodtytuZnak"/>
    <w:link w:val="Styl1"/>
    <w:rPr>
      <w:rFonts w:eastAsiaTheme="minorEastAsia"/>
      <w:color w:val="auto"/>
      <w:szCs w:val="14"/>
    </w:rPr>
  </w:style>
  <w:style w:type="character" w:customStyle="1" w:styleId="Nagwek4Znak">
    <w:name w:val="Nagłówek 4 Znak"/>
    <w:basedOn w:val="Domylnaczcionkaakapitu"/>
    <w:link w:val="Nagwek4"/>
    <w:semiHidden/>
    <w:rPr>
      <w:rFonts w:asciiTheme="majorHAnsi" w:eastAsiaTheme="majorEastAsia" w:hAnsiTheme="majorHAnsi" w:cstheme="majorBidi"/>
      <w:b/>
      <w:iCs/>
      <w:smallCaps/>
      <w:color w:val="234466" w:themeColor="accent1" w:themeShade="BF"/>
      <w:szCs w:val="20"/>
    </w:rPr>
  </w:style>
  <w:style w:type="character" w:customStyle="1" w:styleId="SmallTitleZnak">
    <w:name w:val="SmallTitle Znak"/>
    <w:basedOn w:val="Domylnaczcionkaakapitu"/>
    <w:link w:val="SmallTitle"/>
    <w:rPr>
      <w:rFonts w:ascii="Times New Roman" w:hAnsi="Times New Roman"/>
      <w:b/>
      <w:bCs/>
    </w:rPr>
  </w:style>
  <w:style w:type="character" w:customStyle="1" w:styleId="SmallSubtitleZnak">
    <w:name w:val="SmallSubtitle Znak"/>
    <w:basedOn w:val="Domylnaczcionkaakapitu"/>
    <w:link w:val="SmallSubtitle"/>
    <w:rPr>
      <w:rFonts w:ascii="Times New Roman" w:hAnsi="Times New Roman"/>
      <w:b/>
      <w:caps/>
      <w:lang w:val="en-US"/>
    </w:rPr>
  </w:style>
  <w:style w:type="character" w:styleId="Odwoanieprzypisudolnego">
    <w:name w:val="footnote reference"/>
    <w:semiHidden/>
    <w:rPr>
      <w:vertAlign w:val="superscript"/>
    </w:rPr>
  </w:style>
  <w:style w:type="character" w:customStyle="1" w:styleId="TekstprzypisudolnegoZnak">
    <w:name w:val="Tekst przypisu dolnego Znak"/>
    <w:link w:val="Tekstprzypisudolnego"/>
    <w:semiHidden/>
    <w:rPr>
      <w:sz w:val="20"/>
      <w:szCs w:val="20"/>
    </w:rPr>
  </w:style>
  <w:style w:type="character" w:customStyle="1" w:styleId="EndnoteTextChar">
    <w:name w:val="Endnote Text Char"/>
    <w:semiHidden/>
    <w:rPr>
      <w:sz w:val="20"/>
      <w:szCs w:val="20"/>
    </w:rPr>
  </w:style>
  <w:style w:type="table" w:styleId="Tabela-Prosty1">
    <w:name w:val="Table Simple 1"/>
    <w:basedOn w:val="Standardowy"/>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ela-Siatka">
    <w:name w:val="Table Grid"/>
    <w:basedOn w:val="Standardowy"/>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urulis">
    <w:name w:val="Tabela Curulis"/>
    <w:basedOn w:val="Standardowy"/>
    <w:pPr>
      <w:spacing w:after="0" w:line="276" w:lineRule="auto"/>
      <w:jc w:val="right"/>
    </w:pPr>
    <w:rPr>
      <w:rFonts w:ascii="Arial" w:hAnsi="Arial"/>
      <w:sz w:val="18"/>
    </w:rPr>
    <w:tblPr>
      <w:tblBorders>
        <w:bottom w:val="single" w:sz="4" w:space="0" w:color="DADBDC" w:themeColor="background2" w:themeTint="99"/>
        <w:insideH w:val="single" w:sz="4" w:space="0" w:color="DADBDC" w:themeColor="background2" w:themeTint="99"/>
        <w:insideV w:val="single" w:sz="4" w:space="0" w:color="DADBDC" w:themeColor="background2" w:themeTint="99"/>
      </w:tblBorders>
      <w:tblCellMar>
        <w:top w:w="68" w:type="dxa"/>
        <w:left w:w="85" w:type="dxa"/>
        <w:bottom w:w="68" w:type="dxa"/>
        <w:right w:w="85" w:type="dxa"/>
      </w:tblCellMar>
    </w:tblPr>
    <w:tcPr>
      <w:vAlign w:val="center"/>
    </w:tcPr>
    <w:tblStylePr w:type="firstRow">
      <w:pPr>
        <w:jc w:val="center"/>
      </w:pPr>
      <w:rPr>
        <w:rFonts w:ascii="Arial" w:hAnsi="Arial"/>
        <w:b/>
        <w:i w:val="0"/>
        <w:caps w:val="0"/>
        <w:smallCaps w:val="0"/>
        <w:vanish w:val="0"/>
        <w:color w:val="FFFFFF" w:themeColor="background1"/>
        <w:sz w:val="18"/>
        <w:vertAlign w:val="baseline"/>
      </w:rPr>
      <w:tblPr/>
      <w:tcPr>
        <w:tcBorders>
          <w:top w:val="nil"/>
          <w:left w:val="nil"/>
          <w:bottom w:val="nil"/>
          <w:right w:val="nil"/>
          <w:insideH w:val="nil"/>
          <w:insideV w:val="single" w:sz="8" w:space="0" w:color="FFFFFF" w:themeColor="background1"/>
          <w:tl2br w:val="nil"/>
          <w:tr2bl w:val="nil"/>
        </w:tcBorders>
        <w:shd w:val="clear" w:color="auto" w:fill="3C3F49" w:themeFill="text2"/>
      </w:tcPr>
    </w:tblStylePr>
    <w:tblStylePr w:type="lastRow">
      <w:rPr>
        <w:b/>
      </w:rPr>
    </w:tblStylePr>
    <w:tblStylePr w:type="firstCol">
      <w:pPr>
        <w:jc w:val="left"/>
      </w:pPr>
      <w:rPr>
        <w:b w:val="0"/>
      </w:rPr>
      <w:tblPr/>
      <w:tcPr>
        <w:shd w:val="clear" w:color="auto" w:fill="F2F3F3" w:themeFill="background2" w:themeFillTint="32"/>
      </w:tcPr>
    </w:tblStylePr>
  </w:style>
  <w:style w:type="table" w:customStyle="1" w:styleId="TabelaCurulisLiczby">
    <w:name w:val="Tabela Curulis Liczby"/>
    <w:basedOn w:val="TabelaCurulis"/>
    <w:pPr>
      <w:spacing w:line="240" w:lineRule="auto"/>
    </w:pPr>
    <w:tblPr>
      <w:tblBorders>
        <w:top w:val="single" w:sz="4" w:space="0" w:color="8F9296" w:themeColor="background2" w:themeShade="BF"/>
        <w:left w:val="single" w:sz="4" w:space="0" w:color="8F9296" w:themeColor="background2" w:themeShade="BF"/>
        <w:bottom w:val="single" w:sz="4" w:space="0" w:color="8F9296" w:themeColor="background2" w:themeShade="BF"/>
        <w:right w:val="single" w:sz="4" w:space="0" w:color="8F9296" w:themeColor="background2" w:themeShade="BF"/>
        <w:insideH w:val="single" w:sz="4" w:space="0" w:color="8F9296" w:themeColor="background2" w:themeShade="BF"/>
        <w:insideV w:val="single" w:sz="4" w:space="0" w:color="8F9296" w:themeColor="background2" w:themeShade="BF"/>
      </w:tblBorders>
    </w:tblPr>
    <w:tblStylePr w:type="firstRow">
      <w:pPr>
        <w:jc w:val="center"/>
      </w:pPr>
      <w:rPr>
        <w:rFonts w:ascii="Arial" w:hAnsi="Arial"/>
        <w:b/>
        <w:i w:val="0"/>
        <w:caps w:val="0"/>
        <w:smallCaps w:val="0"/>
        <w:vanish w:val="0"/>
        <w:color w:val="FFFFFF" w:themeColor="background1"/>
        <w:sz w:val="18"/>
        <w:vertAlign w:val="baseline"/>
      </w:rPr>
      <w:tblPr/>
      <w:tcPr>
        <w:tcBorders>
          <w:top w:val="nil"/>
          <w:left w:val="nil"/>
          <w:bottom w:val="nil"/>
          <w:right w:val="nil"/>
          <w:insideH w:val="single" w:sz="4" w:space="0" w:color="FFFFFF" w:themeColor="background1"/>
          <w:insideV w:val="single" w:sz="4" w:space="0" w:color="FFFFFF" w:themeColor="background1"/>
          <w:tl2br w:val="nil"/>
          <w:tr2bl w:val="nil"/>
        </w:tcBorders>
        <w:shd w:val="clear" w:color="auto" w:fill="3C3F49" w:themeFill="text2"/>
      </w:tcPr>
    </w:tblStylePr>
    <w:tblStylePr w:type="lastRow">
      <w:rPr>
        <w:b/>
      </w:rPr>
    </w:tblStylePr>
    <w:tblStylePr w:type="firstCol">
      <w:pPr>
        <w:jc w:val="left"/>
      </w:pPr>
      <w:rPr>
        <w:b w:val="0"/>
      </w:rPr>
      <w:tblPr/>
      <w:tcPr>
        <w:shd w:val="clear" w:color="auto" w:fill="F2F3F3" w:themeFill="background2" w:themeFillTint="32"/>
      </w:tcPr>
    </w:tblStylePr>
  </w:style>
  <w:style w:type="table" w:customStyle="1" w:styleId="TabelaCurulisEco">
    <w:name w:val="Tabela Curulis Eco"/>
    <w:basedOn w:val="TabelaCurulis"/>
    <w:pPr>
      <w:spacing w:line="240" w:lineRule="auto"/>
    </w:pPr>
    <w:tblPr>
      <w:tblStyleRowBandSize w:val="1"/>
      <w:tblStyleColBandSize w:val="1"/>
    </w:tblPr>
    <w:tblStylePr w:type="firstRow">
      <w:pPr>
        <w:jc w:val="center"/>
      </w:pPr>
      <w:rPr>
        <w:rFonts w:ascii="Arial" w:hAnsi="Arial"/>
        <w:b/>
        <w:i w:val="0"/>
        <w:caps w:val="0"/>
        <w:smallCaps w:val="0"/>
        <w:vanish w:val="0"/>
        <w:color w:val="000000" w:themeColor="text1"/>
        <w:sz w:val="18"/>
        <w:vertAlign w:val="baseline"/>
      </w:rPr>
      <w:tblPr/>
      <w:tcPr>
        <w:tcBorders>
          <w:top w:val="nil"/>
          <w:left w:val="nil"/>
          <w:bottom w:val="single" w:sz="4" w:space="0" w:color="8F9296" w:themeColor="background2" w:themeShade="BF"/>
          <w:right w:val="nil"/>
          <w:insideH w:val="single" w:sz="4" w:space="0" w:color="8F9296" w:themeColor="background2" w:themeShade="BF"/>
          <w:insideV w:val="single" w:sz="4" w:space="0" w:color="8F9296" w:themeColor="background2" w:themeShade="BF"/>
          <w:tl2br w:val="nil"/>
          <w:tr2bl w:val="nil"/>
        </w:tcBorders>
        <w:shd w:val="clear" w:color="auto" w:fill="FFFFFF" w:themeFill="background1"/>
      </w:tcPr>
    </w:tblStylePr>
    <w:tblStylePr w:type="lastRow">
      <w:rPr>
        <w:b/>
      </w:rPr>
    </w:tblStylePr>
    <w:tblStylePr w:type="firstCol">
      <w:pPr>
        <w:jc w:val="left"/>
      </w:pPr>
      <w:rPr>
        <w:b w:val="0"/>
      </w:rPr>
      <w:tblPr/>
      <w:tcPr>
        <w:shd w:val="clear" w:color="auto" w:fill="FFFFFF" w:themeFill="background1"/>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Curulis">
  <a:themeElements>
    <a:clrScheme name="Curulis">
      <a:dk1>
        <a:sysClr val="windowText" lastClr="000000"/>
      </a:dk1>
      <a:lt1>
        <a:sysClr val="window" lastClr="FFFFFF"/>
      </a:lt1>
      <a:dk2>
        <a:srgbClr val="3C3F49"/>
      </a:dk2>
      <a:lt2>
        <a:srgbClr val="C2C4C6"/>
      </a:lt2>
      <a:accent1>
        <a:srgbClr val="2F5C89"/>
      </a:accent1>
      <a:accent2>
        <a:srgbClr val="A88848"/>
      </a:accent2>
      <a:accent3>
        <a:srgbClr val="FFC000"/>
      </a:accent3>
      <a:accent4>
        <a:srgbClr val="D90912"/>
      </a:accent4>
      <a:accent5>
        <a:srgbClr val="C6EEDE"/>
      </a:accent5>
      <a:accent6>
        <a:srgbClr val="006139"/>
      </a:accent6>
      <a:hlink>
        <a:srgbClr val="0563C1"/>
      </a:hlink>
      <a:folHlink>
        <a:srgbClr val="954F72"/>
      </a:folHlink>
    </a:clrScheme>
    <a:fontScheme name="Curulis">
      <a:majorFont>
        <a:latin typeface="Arial"/>
        <a:ea typeface=""/>
        <a:cs typeface=""/>
      </a:majorFont>
      <a:minorFont>
        <a:latin typeface="Arial"/>
        <a:ea typeface=""/>
        <a:cs typeface=""/>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7F0372-E1DD-4B2C-BE29-9C4B5DD887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264</TotalTime>
  <Pages>1</Pages>
  <Words>2578</Words>
  <Characters>15472</Characters>
  <Application>Microsoft Office Word</Application>
  <DocSecurity>0</DocSecurity>
  <Lines>128</Lines>
  <Paragraphs>36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18014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Karolina Sawko</dc:creator>
  <cp:keywords>Curulis Sp. z o.o.</cp:keywords>
  <cp:lastModifiedBy>ANNA_S</cp:lastModifiedBy>
  <cp:revision>4</cp:revision>
  <cp:lastPrinted>2025-01-21T12:28:00Z</cp:lastPrinted>
  <dcterms:created xsi:type="dcterms:W3CDTF">2025-01-20T13:33:00Z</dcterms:created>
  <dcterms:modified xsi:type="dcterms:W3CDTF">2025-01-21T12:29:00Z</dcterms:modified>
</cp:coreProperties>
</file>