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F44" w:rsidRPr="00127B08" w:rsidRDefault="00F27F44" w:rsidP="00F27F44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Godziesze Wielkie, dnia 30 września 2014</w:t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</w:t>
      </w:r>
    </w:p>
    <w:p w:rsidR="00F27F44" w:rsidRPr="00127B08" w:rsidRDefault="00F27F44" w:rsidP="00F27F44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27F44" w:rsidRPr="00127B08" w:rsidRDefault="00F27F44" w:rsidP="00F27F44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27F44" w:rsidRPr="00127B08" w:rsidRDefault="00F27F44" w:rsidP="00F27F44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ZP 271.101.2014</w:t>
      </w:r>
    </w:p>
    <w:p w:rsidR="00F27F44" w:rsidRPr="00127B08" w:rsidRDefault="00F27F44" w:rsidP="00F27F44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27F44" w:rsidRDefault="00F27F44" w:rsidP="00F27F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27F44" w:rsidRPr="00127B08" w:rsidRDefault="00F27F44" w:rsidP="00F27F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27F44" w:rsidRDefault="00F27F44" w:rsidP="00F27F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Wyjaśnienia do treści SIWZ w przetargu nieograniczonym na </w:t>
      </w:r>
    </w:p>
    <w:p w:rsidR="00F27F44" w:rsidRDefault="00F27F44" w:rsidP="00F27F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„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Poprawę gospodarki wodno-ściekowej na terenie gminy Godziesze Wielkie.</w:t>
      </w:r>
    </w:p>
    <w:p w:rsidR="00F27F44" w:rsidRPr="00127B08" w:rsidRDefault="00F27F44" w:rsidP="00F27F44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 Etap II – Budowa kanalizacji sanitarnej dla części Wolicy i części Borku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  <w:t>w Gminie Godziesze Wielkie</w:t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” w związku z pytaniami, jakie wpłynęły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do Zamawiającego</w:t>
      </w:r>
    </w:p>
    <w:p w:rsidR="00F27F44" w:rsidRPr="00127B08" w:rsidRDefault="00F27F44" w:rsidP="00F27F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27F44" w:rsidRPr="00127B08" w:rsidRDefault="00F27F44" w:rsidP="00F27F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27F44" w:rsidRPr="00127B08" w:rsidRDefault="00F27F44" w:rsidP="00F27F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Pytanie 1:</w:t>
      </w:r>
    </w:p>
    <w:p w:rsidR="00F27F44" w:rsidRPr="00127B08" w:rsidRDefault="00F27F44" w:rsidP="00F27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Proszę o uściślenie parametrów przepływomierza, który ma zostać zabudowany w studni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DN 2000.</w:t>
      </w:r>
    </w:p>
    <w:p w:rsidR="00F27F44" w:rsidRPr="00127B08" w:rsidRDefault="00F27F44" w:rsidP="00F27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F27F44" w:rsidRPr="00127B08" w:rsidRDefault="00F27F44" w:rsidP="00F27F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 1:</w:t>
      </w:r>
    </w:p>
    <w:p w:rsidR="00F27F44" w:rsidRPr="00B663AB" w:rsidRDefault="00F27F44" w:rsidP="00F27F44">
      <w:pPr>
        <w:spacing w:after="0" w:line="240" w:lineRule="auto"/>
        <w:jc w:val="both"/>
        <w:rPr>
          <w:rFonts w:ascii="Arial" w:eastAsia="Times New Roman" w:hAnsi="Arial"/>
          <w:b/>
          <w:sz w:val="24"/>
          <w:szCs w:val="24"/>
          <w:lang w:eastAsia="pl-PL"/>
        </w:rPr>
      </w:pPr>
      <w:r w:rsidRPr="00B663AB">
        <w:rPr>
          <w:rFonts w:ascii="Times New Roman" w:eastAsia="Times New Roman" w:hAnsi="Times New Roman" w:cs="Times New Roman"/>
          <w:b/>
          <w:lang w:eastAsia="pl-PL"/>
        </w:rPr>
        <w:t xml:space="preserve">Parametry przepływomierza:                     </w:t>
      </w:r>
    </w:p>
    <w:p w:rsidR="00F27F44" w:rsidRPr="00B663AB" w:rsidRDefault="00F27F44" w:rsidP="00F27F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t>Przetwornik FMP300</w:t>
      </w:r>
    </w:p>
    <w:p w:rsidR="00F27F44" w:rsidRPr="00B663AB" w:rsidRDefault="00F27F44" w:rsidP="00F27F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t>Obudowa z tworzywa</w:t>
      </w:r>
    </w:p>
    <w:p w:rsidR="00F27F44" w:rsidRPr="00B663AB" w:rsidRDefault="00F27F44" w:rsidP="00F27F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t>Wskazania przepływ chwilowe w m3/h; zliczanie objętości w m3</w:t>
      </w:r>
    </w:p>
    <w:p w:rsidR="00F27F44" w:rsidRPr="00B663AB" w:rsidRDefault="00F27F44" w:rsidP="00F27F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Sygnały wyjściowe: 4 - 20 </w:t>
      </w:r>
      <w:proofErr w:type="spellStart"/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t>mA</w:t>
      </w:r>
      <w:proofErr w:type="spellEnd"/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t>, impuls co 1m3. Łącze RS485</w:t>
      </w:r>
    </w:p>
    <w:p w:rsidR="00F27F44" w:rsidRPr="00B663AB" w:rsidRDefault="00F27F44" w:rsidP="00F27F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t>Zasilanie 230 V AC,</w:t>
      </w:r>
    </w:p>
    <w:p w:rsidR="00F27F44" w:rsidRPr="00B663AB" w:rsidRDefault="00F27F44" w:rsidP="00F27F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t>Zakres pomiarowy zmienny 0 - 9 ... 180 m3/h</w:t>
      </w:r>
    </w:p>
    <w:p w:rsidR="00F27F44" w:rsidRPr="00B663AB" w:rsidRDefault="00F27F44" w:rsidP="00F27F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t>Głowica FMG300:</w:t>
      </w:r>
    </w:p>
    <w:p w:rsidR="00F27F44" w:rsidRPr="00B663AB" w:rsidRDefault="00F27F44" w:rsidP="00F27F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Przyłącze kołnierzowe, PN16, wykładzina gumowa, temp. max </w:t>
      </w:r>
      <w:smartTag w:uri="urn:schemas-microsoft-com:office:smarttags" w:element="metricconverter">
        <w:smartTagPr>
          <w:attr w:name="ProductID" w:val="80 st"/>
        </w:smartTagPr>
        <w:r w:rsidRPr="00B663AB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80 st</w:t>
        </w:r>
      </w:smartTag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t>. C,</w:t>
      </w:r>
    </w:p>
    <w:p w:rsidR="00F27F44" w:rsidRPr="00B663AB" w:rsidRDefault="00F27F44" w:rsidP="00F27F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t>Obudowa stalowa St3s lakierowana, IP67, elektroda odniesienia.</w:t>
      </w:r>
    </w:p>
    <w:p w:rsidR="00F27F44" w:rsidRPr="00B663AB" w:rsidRDefault="00F27F44" w:rsidP="00F27F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Detekcja pustej rury </w:t>
      </w:r>
    </w:p>
    <w:p w:rsidR="00F27F44" w:rsidRPr="00B663AB" w:rsidRDefault="00F27F44" w:rsidP="00F27F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t>Przewody pomiarowe: 10m</w:t>
      </w:r>
    </w:p>
    <w:p w:rsidR="00F27F44" w:rsidRPr="00B663AB" w:rsidRDefault="00F27F44" w:rsidP="00F27F44">
      <w:pPr>
        <w:shd w:val="clear" w:color="auto" w:fill="FFFFFF"/>
        <w:tabs>
          <w:tab w:val="left" w:pos="1080"/>
        </w:tabs>
        <w:autoSpaceDN w:val="0"/>
        <w:adjustRightInd w:val="0"/>
        <w:spacing w:before="10" w:after="0" w:line="254" w:lineRule="exact"/>
        <w:ind w:right="46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t>Zatwierdzenie typu GUM do ścieków DN40-DN300 (znak typu PL T 06 270), atest PZH, deklaracja zgodności CE, DTR.</w:t>
      </w:r>
      <w:r w:rsidRPr="00B663AB">
        <w:rPr>
          <w:rFonts w:ascii="Times New Roman" w:eastAsia="Times New Roman" w:hAnsi="Times New Roman" w:cs="Times New Roman"/>
          <w:b/>
          <w:lang w:eastAsia="pl-PL"/>
        </w:rPr>
        <w:t xml:space="preserve"> </w:t>
      </w:r>
    </w:p>
    <w:p w:rsidR="00F27F44" w:rsidRPr="00B663AB" w:rsidRDefault="00F27F44" w:rsidP="00F27F44">
      <w:pPr>
        <w:shd w:val="clear" w:color="auto" w:fill="FFFFFF"/>
        <w:tabs>
          <w:tab w:val="left" w:pos="1080"/>
        </w:tabs>
        <w:autoSpaceDN w:val="0"/>
        <w:adjustRightInd w:val="0"/>
        <w:spacing w:before="10" w:after="0" w:line="254" w:lineRule="exact"/>
        <w:ind w:right="46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t>Szafka sterownicza:</w:t>
      </w:r>
    </w:p>
    <w:p w:rsidR="00F27F44" w:rsidRPr="00B663AB" w:rsidRDefault="00F27F44" w:rsidP="00F27F44">
      <w:pPr>
        <w:shd w:val="clear" w:color="auto" w:fill="FFFFFF"/>
        <w:tabs>
          <w:tab w:val="left" w:pos="1080"/>
        </w:tabs>
        <w:autoSpaceDN w:val="0"/>
        <w:adjustRightInd w:val="0"/>
        <w:spacing w:before="10" w:after="0" w:line="254" w:lineRule="exact"/>
        <w:ind w:right="46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-   zabudowa zewnętrzna w obudowie z tworz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ywa chemoutwardzalnego, IP66,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 </w:t>
      </w:r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drzwiami wewnętrznymi, z możliwością zamknięcia drzwi zewnętrznych na zamek  patentowy, </w:t>
      </w:r>
    </w:p>
    <w:p w:rsidR="00F27F44" w:rsidRPr="00B663AB" w:rsidRDefault="00F27F44" w:rsidP="00F27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-     Fundament z tworzywa ok. 1m </w:t>
      </w:r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(083)</w:t>
      </w:r>
    </w:p>
    <w:p w:rsidR="00F27F44" w:rsidRPr="00B663AB" w:rsidRDefault="00F27F44" w:rsidP="00F27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-     Uchwyty do zamocowania przetwornika przepływomierza</w:t>
      </w:r>
    </w:p>
    <w:p w:rsidR="00F27F44" w:rsidRPr="00B663AB" w:rsidRDefault="00F27F44" w:rsidP="00F27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-     Wyłącznik główny zasilania (0-1)</w:t>
      </w:r>
    </w:p>
    <w:p w:rsidR="00F27F44" w:rsidRPr="00B663AB" w:rsidRDefault="00F27F44" w:rsidP="00F27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-     Wyłącznik różnicowo-prądowy dla zabezpieczenia przed porażeniem,</w:t>
      </w:r>
    </w:p>
    <w:p w:rsidR="00F27F44" w:rsidRPr="00B663AB" w:rsidRDefault="00F27F44" w:rsidP="00F27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-     Zabezpieczenie przeciwprzepięciowe C (050)</w:t>
      </w:r>
    </w:p>
    <w:p w:rsidR="00F27F44" w:rsidRPr="00B663AB" w:rsidRDefault="00F27F44" w:rsidP="00F27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-     Gniazdo serwisowe 230V/6A</w:t>
      </w:r>
    </w:p>
    <w:p w:rsidR="00F27F44" w:rsidRPr="00B663AB" w:rsidRDefault="00F27F44" w:rsidP="00F27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-     Sygnalizator optyczny</w:t>
      </w:r>
    </w:p>
    <w:p w:rsidR="00F27F44" w:rsidRPr="00B663AB" w:rsidRDefault="00F27F44" w:rsidP="00F27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-     Sygnalizator akustyczny </w:t>
      </w:r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(068)</w:t>
      </w:r>
    </w:p>
    <w:p w:rsidR="00F27F44" w:rsidRPr="00B663AB" w:rsidRDefault="00F27F44" w:rsidP="00F27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-     Grzałka z termostatem</w:t>
      </w:r>
    </w:p>
    <w:p w:rsidR="00F27F44" w:rsidRPr="00B663AB" w:rsidRDefault="00F27F44" w:rsidP="00F27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-     Zasilacz 12V dla sygnalizacji alarmowej</w:t>
      </w:r>
    </w:p>
    <w:p w:rsidR="00F27F44" w:rsidRPr="00B663AB" w:rsidRDefault="00F27F44" w:rsidP="00F27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    -    </w:t>
      </w:r>
      <w:r w:rsidRPr="00B663A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powiadamianie SMS o awarii lub włamaniu do szafki i komory przepływomierza</w:t>
      </w:r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</w:t>
      </w:r>
    </w:p>
    <w:p w:rsidR="00F27F44" w:rsidRPr="00B663AB" w:rsidRDefault="00F27F44" w:rsidP="00F27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- 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</w:t>
      </w:r>
      <w:r w:rsidRPr="00B663AB">
        <w:rPr>
          <w:rFonts w:ascii="Times New Roman" w:eastAsia="Times New Roman" w:hAnsi="Times New Roman" w:cs="Times New Roman"/>
          <w:sz w:val="24"/>
          <w:szCs w:val="24"/>
          <w:lang w:eastAsia="pl-PL"/>
        </w:rPr>
        <w:t>przepusty kablowymi do złącza kablowego i komory przepływomierza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F27F44" w:rsidRDefault="00F27F44" w:rsidP="00F27F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F27F44" w:rsidRPr="00127B08" w:rsidRDefault="00F27F44" w:rsidP="00F27F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Pytanie 2</w:t>
      </w: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F27F44" w:rsidRPr="00127B08" w:rsidRDefault="00F27F44" w:rsidP="00F27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przedmiarze robót poz. nr 30 mowa jest o stacji napowietrzająco-przedmuchowej wg specyfikacji producenta. W załączonych do przetargu dokumentach brak w/w stacji. Proszę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 wyjaśnienie.</w:t>
      </w:r>
    </w:p>
    <w:p w:rsidR="00F27F44" w:rsidRPr="00127B08" w:rsidRDefault="00F27F44" w:rsidP="00F27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F27F44" w:rsidRPr="00127B08" w:rsidRDefault="00F27F44" w:rsidP="00F27F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 2</w:t>
      </w: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F27F44" w:rsidRDefault="00F27F44" w:rsidP="00F27F4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6358C9">
        <w:rPr>
          <w:rFonts w:ascii="Times New Roman" w:eastAsia="Times New Roman" w:hAnsi="Times New Roman" w:cs="Times New Roman"/>
          <w:lang w:eastAsia="pl-PL"/>
        </w:rPr>
        <w:t>Wyjaśniamy: W obu przepompowniach ma być stacja napowietrzająco – przedmuchowa.</w:t>
      </w:r>
    </w:p>
    <w:p w:rsidR="00F27F44" w:rsidRDefault="00F27F44" w:rsidP="00F27F4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F27F44" w:rsidRPr="00127B08" w:rsidRDefault="00F27F44" w:rsidP="00F27F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Pytanie 3</w:t>
      </w: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F27F44" w:rsidRPr="00127B08" w:rsidRDefault="00F27F44" w:rsidP="00F27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Czy w przypadku uzyskania zamówienia istnieje możliwość miesięcznego rozliczania robót?</w:t>
      </w:r>
    </w:p>
    <w:p w:rsidR="00F27F44" w:rsidRPr="00127B08" w:rsidRDefault="00F27F44" w:rsidP="00F27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F27F44" w:rsidRPr="00127B08" w:rsidRDefault="00F27F44" w:rsidP="00F27F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 3</w:t>
      </w: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F27F44" w:rsidRDefault="00F27F44" w:rsidP="00F27F4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Zamawiający nie przewiduje miesięcznego rozliczania robót. </w:t>
      </w:r>
      <w:r w:rsidRPr="00644F8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Rozliczenie pomiędzy Stronami za wykonane roboty nastąpi na podstawie jednej faktury częściowej wystawionej przez Wykonawcę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nie wcześniej niż </w:t>
      </w:r>
      <w:r w:rsidRPr="00644F8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 I kwartale 2015 roku po zrealizowaniu przynajmniej  50% przedmiotu zamówienia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 jednej faktury końcowej</w:t>
      </w:r>
      <w:r w:rsidRPr="00644F8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wystawionej po całkowitym zakończeniu robót.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Sposób </w:t>
      </w:r>
      <w:r>
        <w:rPr>
          <w:rFonts w:ascii="Times New Roman" w:eastAsia="Times New Roman" w:hAnsi="Times New Roman" w:cs="Times New Roman"/>
          <w:lang w:eastAsia="pl-PL"/>
        </w:rPr>
        <w:t>rozliczanie między stronami za wykonane roboty określono w §5 projektu umowy, który stanowi załącznik nr 4 do Specyfikacji Istotnych Warunków Zamówienia.</w:t>
      </w:r>
    </w:p>
    <w:p w:rsidR="00F27F44" w:rsidRPr="006358C9" w:rsidRDefault="00F27F44" w:rsidP="00F27F4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F27F44" w:rsidRDefault="00F27F44" w:rsidP="00F27F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27F44" w:rsidRPr="00127B08" w:rsidRDefault="00F27F44" w:rsidP="00F27F44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>Wójt Gminy Godziesze Wielkie</w:t>
      </w:r>
    </w:p>
    <w:p w:rsidR="00F27F44" w:rsidRPr="00127B08" w:rsidRDefault="00F27F44" w:rsidP="00F27F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27F44" w:rsidRPr="00127B08" w:rsidRDefault="00F27F44" w:rsidP="00F27F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/-/ Józef Podłużny</w:t>
      </w:r>
    </w:p>
    <w:p w:rsidR="00F27F44" w:rsidRDefault="00F27F44" w:rsidP="00F27F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27F44" w:rsidRPr="00127B08" w:rsidRDefault="00F27F44" w:rsidP="00F27F44"/>
    <w:p w:rsidR="00395231" w:rsidRPr="00F27F44" w:rsidRDefault="00395231" w:rsidP="00F27F44"/>
    <w:sectPr w:rsidR="00395231" w:rsidRPr="00F27F44" w:rsidSect="00F16EF7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4005" w:rsidRDefault="008A4005" w:rsidP="00D7148D">
      <w:pPr>
        <w:spacing w:after="0" w:line="240" w:lineRule="auto"/>
      </w:pPr>
      <w:r>
        <w:separator/>
      </w:r>
    </w:p>
  </w:endnote>
  <w:endnote w:type="continuationSeparator" w:id="0">
    <w:p w:rsidR="008A4005" w:rsidRDefault="008A4005" w:rsidP="00D71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14536773"/>
      <w:docPartObj>
        <w:docPartGallery w:val="Page Numbers (Bottom of Page)"/>
        <w:docPartUnique/>
      </w:docPartObj>
    </w:sdtPr>
    <w:sdtContent>
      <w:p w:rsidR="008107CC" w:rsidRDefault="002B297A">
        <w:pPr>
          <w:pStyle w:val="Stopka"/>
          <w:jc w:val="right"/>
        </w:pPr>
        <w:r>
          <w:fldChar w:fldCharType="begin"/>
        </w:r>
        <w:r w:rsidR="008107CC">
          <w:instrText>PAGE   \* MERGEFORMAT</w:instrText>
        </w:r>
        <w:r>
          <w:fldChar w:fldCharType="separate"/>
        </w:r>
        <w:r w:rsidR="00F27F44">
          <w:rPr>
            <w:noProof/>
          </w:rPr>
          <w:t>1</w:t>
        </w:r>
        <w:r>
          <w:fldChar w:fldCharType="end"/>
        </w:r>
      </w:p>
    </w:sdtContent>
  </w:sdt>
  <w:p w:rsidR="008107CC" w:rsidRDefault="008107C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4005" w:rsidRDefault="008A4005" w:rsidP="00D7148D">
      <w:pPr>
        <w:spacing w:after="0" w:line="240" w:lineRule="auto"/>
      </w:pPr>
      <w:r>
        <w:separator/>
      </w:r>
    </w:p>
  </w:footnote>
  <w:footnote w:type="continuationSeparator" w:id="0">
    <w:p w:rsidR="008A4005" w:rsidRDefault="008A4005" w:rsidP="00D71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148D" w:rsidRPr="00D7148D" w:rsidRDefault="00D7148D" w:rsidP="00C2540F">
    <w:pPr>
      <w:ind w:firstLine="708"/>
      <w:rPr>
        <w:rFonts w:cs="Times New Roman"/>
        <w:sz w:val="16"/>
        <w:szCs w:val="16"/>
      </w:rPr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2240280</wp:posOffset>
          </wp:positionH>
          <wp:positionV relativeFrom="paragraph">
            <wp:posOffset>-234315</wp:posOffset>
          </wp:positionV>
          <wp:extent cx="1793240" cy="1092835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3240" cy="1092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cs="Times New Roman"/>
        <w:noProof/>
        <w:sz w:val="16"/>
        <w:szCs w:val="16"/>
        <w:lang w:eastAsia="pl-PL"/>
      </w:rPr>
      <w:drawing>
        <wp:inline distT="0" distB="0" distL="0" distR="0">
          <wp:extent cx="1247775" cy="666750"/>
          <wp:effectExtent l="0" t="0" r="952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7148D">
      <w:rPr>
        <w:rFonts w:cs="Times New Roman"/>
        <w:sz w:val="16"/>
        <w:szCs w:val="16"/>
      </w:rPr>
      <w:tab/>
      <w:t xml:space="preserve">     </w:t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  <w:t xml:space="preserve">         </w:t>
    </w:r>
    <w:r w:rsidRPr="00C2540F">
      <w:rPr>
        <w:rFonts w:cs="Times New Roman"/>
        <w:b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="00F16EF7">
      <w:rPr>
        <w:noProof/>
        <w:sz w:val="16"/>
        <w:szCs w:val="16"/>
        <w:lang w:eastAsia="pl-PL"/>
      </w:rPr>
      <w:drawing>
        <wp:inline distT="0" distB="0" distL="0" distR="0">
          <wp:extent cx="933450" cy="619125"/>
          <wp:effectExtent l="0" t="0" r="0" b="9525"/>
          <wp:docPr id="3" name="Obraz 3" descr="http://www.minrol.gov.pl/design/ministerstwo/images/prow/prow_logo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6" descr="http://www.minrol.gov.pl/design/ministerstwo/images/prow/prow_logo2.gif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7148D">
      <w:rPr>
        <w:rFonts w:cs="Times New Roman"/>
        <w:sz w:val="16"/>
        <w:szCs w:val="16"/>
      </w:rPr>
      <w:tab/>
    </w:r>
    <w:r>
      <w:rPr>
        <w:rFonts w:cs="Times New Roman"/>
        <w:sz w:val="16"/>
        <w:szCs w:val="16"/>
      </w:rPr>
      <w:t xml:space="preserve">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22BFA"/>
    <w:multiLevelType w:val="hybridMultilevel"/>
    <w:tmpl w:val="FA34507C"/>
    <w:lvl w:ilvl="0" w:tplc="84B8143E">
      <w:start w:val="1"/>
      <w:numFmt w:val="lowerLetter"/>
      <w:lvlText w:val="%1)"/>
      <w:lvlJc w:val="left"/>
      <w:pPr>
        <w:tabs>
          <w:tab w:val="num" w:pos="1770"/>
        </w:tabs>
        <w:ind w:left="17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490"/>
        </w:tabs>
        <w:ind w:left="249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210"/>
        </w:tabs>
        <w:ind w:left="321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930"/>
        </w:tabs>
        <w:ind w:left="393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650"/>
        </w:tabs>
        <w:ind w:left="465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370"/>
        </w:tabs>
        <w:ind w:left="537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090"/>
        </w:tabs>
        <w:ind w:left="609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810"/>
        </w:tabs>
        <w:ind w:left="681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530"/>
        </w:tabs>
        <w:ind w:left="7530" w:hanging="180"/>
      </w:pPr>
    </w:lvl>
  </w:abstractNum>
  <w:abstractNum w:abstractNumId="1">
    <w:nsid w:val="0C583CFE"/>
    <w:multiLevelType w:val="singleLevel"/>
    <w:tmpl w:val="32926670"/>
    <w:lvl w:ilvl="0">
      <w:numFmt w:val="bullet"/>
      <w:lvlText w:val="-"/>
      <w:lvlJc w:val="left"/>
      <w:pPr>
        <w:tabs>
          <w:tab w:val="num" w:pos="704"/>
        </w:tabs>
        <w:ind w:left="704" w:hanging="360"/>
      </w:pPr>
      <w:rPr>
        <w:rFonts w:ascii="Times New Roman" w:hAnsi="Times New Roman" w:hint="default"/>
      </w:rPr>
    </w:lvl>
  </w:abstractNum>
  <w:abstractNum w:abstractNumId="2">
    <w:nsid w:val="0E12029E"/>
    <w:multiLevelType w:val="singleLevel"/>
    <w:tmpl w:val="B636D3DE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3">
    <w:nsid w:val="11192BC7"/>
    <w:multiLevelType w:val="hybridMultilevel"/>
    <w:tmpl w:val="DB18CE8E"/>
    <w:lvl w:ilvl="0" w:tplc="C798A006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2B97019"/>
    <w:multiLevelType w:val="hybridMultilevel"/>
    <w:tmpl w:val="5D982C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FF1C10"/>
    <w:multiLevelType w:val="hybridMultilevel"/>
    <w:tmpl w:val="C19608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72070B"/>
    <w:multiLevelType w:val="hybridMultilevel"/>
    <w:tmpl w:val="0CC8B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474598"/>
    <w:multiLevelType w:val="hybridMultilevel"/>
    <w:tmpl w:val="40681F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4D09F6"/>
    <w:multiLevelType w:val="singleLevel"/>
    <w:tmpl w:val="B636D3DE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9">
    <w:nsid w:val="2AAE200C"/>
    <w:multiLevelType w:val="hybridMultilevel"/>
    <w:tmpl w:val="1DBE53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360613"/>
    <w:multiLevelType w:val="singleLevel"/>
    <w:tmpl w:val="7BF86290"/>
    <w:lvl w:ilvl="0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hAnsi="Times New Roman" w:hint="default"/>
      </w:rPr>
    </w:lvl>
  </w:abstractNum>
  <w:abstractNum w:abstractNumId="11">
    <w:nsid w:val="35872DED"/>
    <w:multiLevelType w:val="singleLevel"/>
    <w:tmpl w:val="B636D3DE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12">
    <w:nsid w:val="36FA55ED"/>
    <w:multiLevelType w:val="hybridMultilevel"/>
    <w:tmpl w:val="271CB99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70B5DCE"/>
    <w:multiLevelType w:val="hybridMultilevel"/>
    <w:tmpl w:val="BFF6E57E"/>
    <w:lvl w:ilvl="0" w:tplc="1B1A33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20864D9"/>
    <w:multiLevelType w:val="hybridMultilevel"/>
    <w:tmpl w:val="E6526C66"/>
    <w:lvl w:ilvl="0" w:tplc="7DD0F6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D102A93"/>
    <w:multiLevelType w:val="hybridMultilevel"/>
    <w:tmpl w:val="4D484C88"/>
    <w:lvl w:ilvl="0" w:tplc="B5C4D0D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5DF7413"/>
    <w:multiLevelType w:val="hybridMultilevel"/>
    <w:tmpl w:val="F56A79A2"/>
    <w:lvl w:ilvl="0" w:tplc="036A4406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71C6644"/>
    <w:multiLevelType w:val="hybridMultilevel"/>
    <w:tmpl w:val="194A766C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">
    <w:nsid w:val="69035E5C"/>
    <w:multiLevelType w:val="hybridMultilevel"/>
    <w:tmpl w:val="E236DB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B9A3DCE"/>
    <w:multiLevelType w:val="hybridMultilevel"/>
    <w:tmpl w:val="59FA5416"/>
    <w:lvl w:ilvl="0" w:tplc="57304C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70122C75"/>
    <w:multiLevelType w:val="hybridMultilevel"/>
    <w:tmpl w:val="20EA2E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26259EA"/>
    <w:multiLevelType w:val="hybridMultilevel"/>
    <w:tmpl w:val="78DAA57A"/>
    <w:lvl w:ilvl="0" w:tplc="7736B9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BF36037"/>
    <w:multiLevelType w:val="hybridMultilevel"/>
    <w:tmpl w:val="4D7E44E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13"/>
  </w:num>
  <w:num w:numId="3">
    <w:abstractNumId w:val="21"/>
  </w:num>
  <w:num w:numId="4">
    <w:abstractNumId w:val="19"/>
  </w:num>
  <w:num w:numId="5">
    <w:abstractNumId w:val="3"/>
  </w:num>
  <w:num w:numId="6">
    <w:abstractNumId w:val="5"/>
  </w:num>
  <w:num w:numId="7">
    <w:abstractNumId w:val="4"/>
  </w:num>
  <w:num w:numId="8">
    <w:abstractNumId w:val="6"/>
  </w:num>
  <w:num w:numId="9">
    <w:abstractNumId w:val="15"/>
  </w:num>
  <w:num w:numId="10">
    <w:abstractNumId w:val="9"/>
  </w:num>
  <w:num w:numId="11">
    <w:abstractNumId w:val="20"/>
  </w:num>
  <w:num w:numId="12">
    <w:abstractNumId w:val="14"/>
  </w:num>
  <w:num w:numId="13">
    <w:abstractNumId w:val="18"/>
  </w:num>
  <w:num w:numId="14">
    <w:abstractNumId w:val="16"/>
  </w:num>
  <w:num w:numId="15">
    <w:abstractNumId w:val="12"/>
  </w:num>
  <w:num w:numId="16">
    <w:abstractNumId w:val="22"/>
  </w:num>
  <w:num w:numId="17">
    <w:abstractNumId w:val="17"/>
  </w:num>
  <w:num w:numId="18">
    <w:abstractNumId w:val="0"/>
  </w:num>
  <w:num w:numId="19">
    <w:abstractNumId w:val="1"/>
  </w:num>
  <w:num w:numId="20">
    <w:abstractNumId w:val="10"/>
  </w:num>
  <w:num w:numId="21">
    <w:abstractNumId w:val="2"/>
  </w:num>
  <w:num w:numId="22">
    <w:abstractNumId w:val="8"/>
  </w:num>
  <w:num w:numId="2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/>
  <w:rsids>
    <w:rsidRoot w:val="00D7148D"/>
    <w:rsid w:val="00014AD5"/>
    <w:rsid w:val="00074665"/>
    <w:rsid w:val="00075B83"/>
    <w:rsid w:val="0009644E"/>
    <w:rsid w:val="000D4F7A"/>
    <w:rsid w:val="000D58FC"/>
    <w:rsid w:val="00146021"/>
    <w:rsid w:val="00177B4C"/>
    <w:rsid w:val="001D38EF"/>
    <w:rsid w:val="00232B4F"/>
    <w:rsid w:val="0029399A"/>
    <w:rsid w:val="002B297A"/>
    <w:rsid w:val="002C0A60"/>
    <w:rsid w:val="00395231"/>
    <w:rsid w:val="00404F05"/>
    <w:rsid w:val="004133DF"/>
    <w:rsid w:val="00495131"/>
    <w:rsid w:val="004D28C9"/>
    <w:rsid w:val="00573C23"/>
    <w:rsid w:val="005B2B17"/>
    <w:rsid w:val="005C0F4F"/>
    <w:rsid w:val="00613FD8"/>
    <w:rsid w:val="00664F51"/>
    <w:rsid w:val="006774ED"/>
    <w:rsid w:val="006A764B"/>
    <w:rsid w:val="00764E9B"/>
    <w:rsid w:val="00776785"/>
    <w:rsid w:val="007C7AE6"/>
    <w:rsid w:val="008107CC"/>
    <w:rsid w:val="00853C1C"/>
    <w:rsid w:val="00864EE6"/>
    <w:rsid w:val="00882782"/>
    <w:rsid w:val="008A4005"/>
    <w:rsid w:val="008F5060"/>
    <w:rsid w:val="009524EF"/>
    <w:rsid w:val="00985E80"/>
    <w:rsid w:val="009F314E"/>
    <w:rsid w:val="00A31D9C"/>
    <w:rsid w:val="00A52E14"/>
    <w:rsid w:val="00A601C5"/>
    <w:rsid w:val="00A659AE"/>
    <w:rsid w:val="00A84500"/>
    <w:rsid w:val="00AA56D2"/>
    <w:rsid w:val="00AB5A79"/>
    <w:rsid w:val="00B043CC"/>
    <w:rsid w:val="00B459BE"/>
    <w:rsid w:val="00BA3ABA"/>
    <w:rsid w:val="00C2540F"/>
    <w:rsid w:val="00C33FC4"/>
    <w:rsid w:val="00CD27EB"/>
    <w:rsid w:val="00D24ADC"/>
    <w:rsid w:val="00D7148D"/>
    <w:rsid w:val="00D84C4F"/>
    <w:rsid w:val="00D87D62"/>
    <w:rsid w:val="00DA5C07"/>
    <w:rsid w:val="00E1373C"/>
    <w:rsid w:val="00E23F20"/>
    <w:rsid w:val="00F16EF7"/>
    <w:rsid w:val="00F27F44"/>
    <w:rsid w:val="00F36627"/>
    <w:rsid w:val="00FD28A2"/>
    <w:rsid w:val="00FF1F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2540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1E650F-A0BB-4E2E-B629-D637B69AD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413</Words>
  <Characters>2482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2</cp:revision>
  <cp:lastPrinted>2014-10-14T10:33:00Z</cp:lastPrinted>
  <dcterms:created xsi:type="dcterms:W3CDTF">2014-10-29T20:55:00Z</dcterms:created>
  <dcterms:modified xsi:type="dcterms:W3CDTF">2014-10-29T20:55:00Z</dcterms:modified>
</cp:coreProperties>
</file>